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jc w:val="center"/>
        <w:rPr>
          <w:rFonts w:cs="宋体" w:asciiTheme="minorEastAsia" w:hAnsiTheme="minorEastAsia"/>
          <w:b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cs="宋体" w:asciiTheme="minorEastAsia" w:hAnsiTheme="minorEastAsia"/>
          <w:b/>
          <w:color w:val="000000"/>
          <w:kern w:val="0"/>
          <w:sz w:val="32"/>
          <w:szCs w:val="32"/>
          <w:lang w:eastAsia="zh-CN"/>
        </w:rPr>
        <w:t>论文</w:t>
      </w:r>
      <w:r>
        <w:rPr>
          <w:rFonts w:hint="eastAsia" w:cs="宋体" w:asciiTheme="minorEastAsia" w:hAnsiTheme="minorEastAsia"/>
          <w:b/>
          <w:color w:val="000000"/>
          <w:kern w:val="0"/>
          <w:sz w:val="32"/>
          <w:szCs w:val="32"/>
        </w:rPr>
        <w:t>检测相关规定</w:t>
      </w:r>
    </w:p>
    <w:p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1.除论著、教材及国外刊物发表的论文外，本年度所有系列申报人员提交的论文都</w:t>
      </w:r>
      <w:r>
        <w:rPr>
          <w:rFonts w:hint="eastAsia" w:cs="宋体" w:asciiTheme="minorEastAsia" w:hAnsiTheme="minorEastAsia"/>
          <w:b/>
          <w:bCs/>
          <w:color w:val="FF0000"/>
          <w:kern w:val="0"/>
          <w:sz w:val="28"/>
          <w:szCs w:val="28"/>
        </w:rPr>
        <w:t>须</w:t>
      </w:r>
      <w:r>
        <w:rPr>
          <w:rFonts w:hint="eastAsia" w:cs="宋体" w:asciiTheme="minorEastAsia" w:hAnsiTheme="minorEastAsia"/>
          <w:b/>
          <w:bCs/>
          <w:color w:val="FF0000"/>
          <w:kern w:val="0"/>
          <w:sz w:val="28"/>
          <w:szCs w:val="28"/>
          <w:lang w:eastAsia="zh-CN"/>
        </w:rPr>
        <w:t>提供</w:t>
      </w:r>
      <w:r>
        <w:rPr>
          <w:rFonts w:hint="eastAsia" w:cs="宋体" w:asciiTheme="minorEastAsia" w:hAnsiTheme="minorEastAsia"/>
          <w:color w:val="FF0000"/>
          <w:kern w:val="0"/>
          <w:sz w:val="28"/>
          <w:szCs w:val="28"/>
          <w:lang w:eastAsia="zh-CN"/>
        </w:rPr>
        <w:t>论文</w:t>
      </w:r>
      <w:r>
        <w:rPr>
          <w:rFonts w:hint="eastAsia" w:cs="宋体" w:asciiTheme="minorEastAsia" w:hAnsiTheme="minorEastAsia"/>
          <w:color w:val="FF0000"/>
          <w:kern w:val="0"/>
          <w:sz w:val="28"/>
          <w:szCs w:val="28"/>
        </w:rPr>
        <w:t>文献检测报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告。往年已检测的论文无须再次检测，只要将往年的检测报告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提交给学院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即可。</w:t>
      </w:r>
    </w:p>
    <w:p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2.检测过程先由申报者本人按照《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论文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检查论文提交规范》填写《浙江师范大学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论文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检测报告汇总表》一式两份，打印签字后与所需检测的论文word电子文档一并报送至所在学院（单位）人事秘书处。人事秘书于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月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10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日前统一将汇总表和word电子文档送校图书馆咨询部检测。检测完成后，各学院（单位）统一领回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并送至人事处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。对送检论文中，自引内容重复比率超过50%，或他引内容重复比率超过30%的学术论文，学校将组织专家进行鉴定。</w:t>
      </w:r>
    </w:p>
    <w:p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3.请各学院（单位）对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论文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文献检测工作要予以高度重视，对检测样本或检测结果弄虚作假的相关人员，学校将按照有关规定给予严肃处理。论文检测费为20元/篇，学校统一从本人工资中扣取。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3AAB"/>
    <w:rsid w:val="000377AA"/>
    <w:rsid w:val="00097635"/>
    <w:rsid w:val="00267F51"/>
    <w:rsid w:val="003A671F"/>
    <w:rsid w:val="005B2F5A"/>
    <w:rsid w:val="00675A34"/>
    <w:rsid w:val="008D3CF9"/>
    <w:rsid w:val="00A01A9C"/>
    <w:rsid w:val="00A82160"/>
    <w:rsid w:val="00B51E80"/>
    <w:rsid w:val="00BE30D3"/>
    <w:rsid w:val="00D83AAB"/>
    <w:rsid w:val="16D421A1"/>
    <w:rsid w:val="1A7B7531"/>
    <w:rsid w:val="260F1C47"/>
    <w:rsid w:val="2A065F3B"/>
    <w:rsid w:val="374E629D"/>
    <w:rsid w:val="3C2A33C4"/>
    <w:rsid w:val="630940D0"/>
    <w:rsid w:val="63C1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59</Words>
  <Characters>342</Characters>
  <Lines>2</Lines>
  <Paragraphs>1</Paragraphs>
  <TotalTime>4</TotalTime>
  <ScaleCrop>false</ScaleCrop>
  <LinksUpToDate>false</LinksUpToDate>
  <CharactersWithSpaces>400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2015-06-25T03:16:00Z</dcterms:created>
  <dc:creator>ban2</dc:creator>
  <cp:lastModifiedBy>lenovo</cp:lastModifiedBy>
  <dcterms:modified xsi:type="dcterms:W3CDTF">2020-07-02T09:21:23Z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