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562" w:firstLineChars="100"/>
        <w:jc w:val="center"/>
        <w:rPr>
          <w:rFonts w:ascii="宋体" w:hAnsi="宋体" w:cs="Times New Roman"/>
          <w:b/>
          <w:sz w:val="56"/>
          <w:szCs w:val="52"/>
        </w:rPr>
      </w:pPr>
      <w:bookmarkStart w:id="0" w:name="_Toc19788"/>
      <w:r>
        <w:rPr>
          <w:rFonts w:ascii="宋体" w:hAnsi="宋体" w:cs="Times New Roman"/>
          <w:b/>
          <w:sz w:val="56"/>
          <w:szCs w:val="52"/>
        </w:rPr>
        <w:drawing>
          <wp:inline distT="0" distB="0" distL="0" distR="0">
            <wp:extent cx="3181350" cy="1009650"/>
            <wp:effectExtent l="0" t="0" r="0" b="0"/>
            <wp:docPr id="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89212" cy="101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100"/>
        <w:rPr>
          <w:rFonts w:ascii="宋体" w:hAnsi="宋体" w:cs="Times New Roman"/>
          <w:b/>
          <w:sz w:val="56"/>
          <w:szCs w:val="52"/>
        </w:rPr>
      </w:pPr>
      <w:r>
        <w:rPr>
          <w:rFonts w:hint="eastAsia" w:ascii="宋体" w:hAnsi="宋体" w:cs="Times New Roman"/>
          <w:b/>
          <w:sz w:val="56"/>
          <w:szCs w:val="52"/>
        </w:rPr>
        <w:t>维普毕业设计（论文）管理系统</w:t>
      </w:r>
    </w:p>
    <w:p>
      <w:pPr>
        <w:spacing w:line="360" w:lineRule="auto"/>
        <w:rPr>
          <w:rFonts w:ascii="宋体" w:hAnsi="宋体" w:cs="Times New Roman"/>
        </w:rPr>
      </w:pPr>
    </w:p>
    <w:p>
      <w:pPr>
        <w:spacing w:line="360" w:lineRule="auto"/>
        <w:ind w:firstLine="2249" w:firstLineChars="700"/>
        <w:rPr>
          <w:rFonts w:ascii="宋体" w:hAnsi="宋体" w:cs="Times New Roman"/>
          <w:b/>
          <w:sz w:val="32"/>
          <w:szCs w:val="32"/>
        </w:rPr>
      </w:pPr>
      <w:r>
        <w:rPr>
          <w:rFonts w:hint="eastAsia" w:ascii="宋体" w:hAnsi="宋体" w:cs="Times New Roman"/>
          <w:b/>
          <w:sz w:val="32"/>
          <w:szCs w:val="32"/>
        </w:rPr>
        <w:t>浙江师范大学行知学院</w:t>
      </w:r>
    </w:p>
    <w:p>
      <w:pPr>
        <w:spacing w:line="360" w:lineRule="auto"/>
        <w:rPr>
          <w:rFonts w:ascii="宋体" w:hAnsi="宋体" w:cs="Times New Roman"/>
        </w:rPr>
      </w:pPr>
    </w:p>
    <w:p>
      <w:pPr>
        <w:spacing w:line="360" w:lineRule="auto"/>
        <w:rPr>
          <w:rFonts w:ascii="宋体" w:hAnsi="宋体" w:cs="Times New Roman"/>
        </w:rPr>
      </w:pPr>
    </w:p>
    <w:p>
      <w:pPr>
        <w:spacing w:line="360" w:lineRule="auto"/>
        <w:rPr>
          <w:rFonts w:ascii="宋体" w:hAnsi="宋体" w:cs="Times New Roman"/>
        </w:rPr>
      </w:pPr>
    </w:p>
    <w:p>
      <w:pPr>
        <w:spacing w:line="360" w:lineRule="auto"/>
        <w:rPr>
          <w:rFonts w:ascii="宋体" w:hAnsi="宋体" w:cs="Times New Roman"/>
        </w:rPr>
      </w:pPr>
    </w:p>
    <w:p>
      <w:pPr>
        <w:spacing w:line="360" w:lineRule="auto"/>
        <w:rPr>
          <w:rFonts w:ascii="宋体" w:hAnsi="宋体" w:cs="Times New Roman"/>
        </w:rPr>
      </w:pPr>
    </w:p>
    <w:p>
      <w:pPr>
        <w:spacing w:line="360" w:lineRule="auto"/>
        <w:rPr>
          <w:rFonts w:ascii="宋体" w:hAnsi="宋体" w:cs="Times New Roman"/>
        </w:rPr>
      </w:pPr>
    </w:p>
    <w:p>
      <w:pPr>
        <w:spacing w:line="360" w:lineRule="auto"/>
        <w:jc w:val="center"/>
        <w:rPr>
          <w:rFonts w:ascii="宋体" w:hAnsi="宋体" w:cs="Times New Roman"/>
          <w:b/>
          <w:sz w:val="56"/>
          <w:szCs w:val="52"/>
        </w:rPr>
      </w:pPr>
      <w:r>
        <w:rPr>
          <w:rFonts w:hint="eastAsia" w:ascii="宋体" w:hAnsi="宋体" w:cs="Times New Roman"/>
          <w:b/>
          <w:sz w:val="56"/>
          <w:szCs w:val="52"/>
        </w:rPr>
        <w:t>用户操作手册</w:t>
      </w:r>
    </w:p>
    <w:p>
      <w:pPr>
        <w:spacing w:line="360" w:lineRule="auto"/>
        <w:jc w:val="center"/>
        <w:rPr>
          <w:rFonts w:ascii="宋体" w:hAnsi="宋体" w:cs="Times New Roman"/>
          <w:b/>
          <w:sz w:val="48"/>
          <w:szCs w:val="52"/>
        </w:rPr>
      </w:pPr>
      <w:r>
        <w:rPr>
          <w:rFonts w:hint="eastAsia" w:ascii="宋体" w:hAnsi="宋体" w:cs="Times New Roman"/>
          <w:b/>
          <w:sz w:val="48"/>
          <w:szCs w:val="52"/>
        </w:rPr>
        <w:t>（完整流程操作）</w:t>
      </w:r>
    </w:p>
    <w:p>
      <w:pPr>
        <w:spacing w:line="360" w:lineRule="auto"/>
        <w:rPr>
          <w:rFonts w:ascii="宋体" w:hAnsi="宋体" w:cs="Times New Roman"/>
        </w:rPr>
      </w:pPr>
    </w:p>
    <w:p>
      <w:pPr>
        <w:spacing w:line="360" w:lineRule="auto"/>
        <w:rPr>
          <w:rFonts w:ascii="宋体" w:hAnsi="宋体" w:cs="Times New Roman"/>
        </w:rPr>
      </w:pPr>
    </w:p>
    <w:p>
      <w:pPr>
        <w:spacing w:line="360" w:lineRule="auto"/>
        <w:rPr>
          <w:rFonts w:ascii="宋体" w:hAnsi="宋体" w:cs="Times New Roman"/>
        </w:rPr>
      </w:pPr>
    </w:p>
    <w:p>
      <w:pPr>
        <w:spacing w:line="360" w:lineRule="auto"/>
        <w:rPr>
          <w:rFonts w:ascii="宋体" w:hAnsi="宋体" w:cs="Times New Roman"/>
        </w:rPr>
      </w:pPr>
    </w:p>
    <w:p>
      <w:pPr>
        <w:spacing w:line="360" w:lineRule="auto"/>
        <w:rPr>
          <w:rFonts w:ascii="宋体" w:hAnsi="宋体" w:cs="Times New Roman"/>
        </w:rPr>
      </w:pPr>
    </w:p>
    <w:p>
      <w:pPr>
        <w:spacing w:line="360" w:lineRule="auto"/>
        <w:rPr>
          <w:rFonts w:ascii="宋体" w:hAnsi="宋体" w:cs="Times New Roman"/>
        </w:rPr>
      </w:pPr>
    </w:p>
    <w:p>
      <w:pPr>
        <w:spacing w:line="360" w:lineRule="auto"/>
        <w:rPr>
          <w:rFonts w:ascii="宋体" w:hAnsi="宋体" w:cs="Times New Roman"/>
        </w:rPr>
      </w:pPr>
    </w:p>
    <w:p>
      <w:pPr>
        <w:spacing w:line="360" w:lineRule="auto"/>
        <w:jc w:val="center"/>
        <w:rPr>
          <w:rFonts w:ascii="宋体" w:hAnsi="宋体" w:cs="Times New Roman"/>
          <w:sz w:val="30"/>
          <w:szCs w:val="30"/>
        </w:rPr>
      </w:pPr>
      <w:r>
        <w:rPr>
          <w:rFonts w:hint="eastAsia" w:ascii="宋体" w:hAnsi="宋体" w:cs="Times New Roman"/>
          <w:sz w:val="30"/>
          <w:szCs w:val="30"/>
        </w:rPr>
        <w:t>重庆泛语科技有限公司</w:t>
      </w:r>
    </w:p>
    <w:p>
      <w:pPr>
        <w:spacing w:line="360" w:lineRule="auto"/>
        <w:jc w:val="center"/>
        <w:rPr>
          <w:rFonts w:ascii="宋体" w:hAnsi="宋体" w:cs="Times New Roman"/>
          <w:sz w:val="30"/>
          <w:szCs w:val="30"/>
        </w:rPr>
      </w:pPr>
      <w:r>
        <w:rPr>
          <w:rFonts w:hint="eastAsia" w:ascii="宋体" w:hAnsi="宋体" w:cs="Times New Roman"/>
          <w:sz w:val="30"/>
          <w:szCs w:val="30"/>
        </w:rPr>
        <w:t>二〇二一年七月十九日</w:t>
      </w:r>
    </w:p>
    <w:p>
      <w:pPr>
        <w:snapToGrid w:val="0"/>
        <w:spacing w:line="360" w:lineRule="auto"/>
        <w:jc w:val="center"/>
        <w:rPr>
          <w:rFonts w:ascii="宋体" w:hAnsi="宋体" w:cs="Times New Roman"/>
          <w:b/>
          <w:sz w:val="48"/>
          <w:szCs w:val="52"/>
        </w:rPr>
      </w:pPr>
    </w:p>
    <w:bookmarkEnd w:id="0"/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4"/>
          <w:lang w:val="zh-CN"/>
        </w:rPr>
        <w:id w:val="-1478606850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15"/>
            <w:spacing w:before="0" w:line="360" w:lineRule="auto"/>
          </w:pPr>
          <w:r>
            <w:rPr>
              <w:lang w:val="zh-CN"/>
            </w:rPr>
            <w:t>目录</w:t>
          </w:r>
        </w:p>
        <w:p>
          <w:pPr>
            <w:pStyle w:val="9"/>
            <w:tabs>
              <w:tab w:val="left" w:pos="84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"_Toc79998000" </w:instrText>
          </w:r>
          <w:r>
            <w:fldChar w:fldCharType="separate"/>
          </w:r>
          <w:r>
            <w:rPr>
              <w:rStyle w:val="12"/>
            </w:rPr>
            <w:t>一、</w:t>
          </w:r>
          <w:r>
            <w:rPr>
              <w:szCs w:val="22"/>
            </w:rPr>
            <w:tab/>
          </w:r>
          <w:r>
            <w:rPr>
              <w:rStyle w:val="12"/>
            </w:rPr>
            <w:t>系统登录</w:t>
          </w:r>
          <w:r>
            <w:tab/>
          </w:r>
          <w:r>
            <w:fldChar w:fldCharType="begin"/>
          </w:r>
          <w:r>
            <w:instrText xml:space="preserve"> PAGEREF _Toc79998000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"_Toc79998001" </w:instrText>
          </w:r>
          <w:r>
            <w:fldChar w:fldCharType="separate"/>
          </w:r>
          <w:r>
            <w:rPr>
              <w:rStyle w:val="12"/>
            </w:rPr>
            <w:t>二、个人信息填写</w:t>
          </w:r>
          <w:r>
            <w:tab/>
          </w:r>
          <w:r>
            <w:fldChar w:fldCharType="begin"/>
          </w:r>
          <w:r>
            <w:instrText xml:space="preserve"> PAGEREF _Toc79998001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"_Toc79998002" </w:instrText>
          </w:r>
          <w:r>
            <w:fldChar w:fldCharType="separate"/>
          </w:r>
          <w:r>
            <w:rPr>
              <w:rStyle w:val="12"/>
            </w:rPr>
            <w:t>三、系统主流程及操作方法</w:t>
          </w:r>
          <w:r>
            <w:tab/>
          </w:r>
          <w:r>
            <w:fldChar w:fldCharType="begin"/>
          </w:r>
          <w:r>
            <w:instrText xml:space="preserve"> PAGEREF _Toc79998002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"_Toc79998003" </w:instrText>
          </w:r>
          <w:r>
            <w:fldChar w:fldCharType="separate"/>
          </w:r>
          <w:r>
            <w:rPr>
              <w:rStyle w:val="12"/>
            </w:rPr>
            <w:t>1、学生申报课题</w:t>
          </w:r>
          <w:r>
            <w:tab/>
          </w:r>
          <w:r>
            <w:fldChar w:fldCharType="begin"/>
          </w:r>
          <w:r>
            <w:instrText xml:space="preserve"> PAGEREF _Toc79998003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"_Toc79998004" </w:instrText>
          </w:r>
          <w:r>
            <w:fldChar w:fldCharType="separate"/>
          </w:r>
          <w:r>
            <w:rPr>
              <w:rStyle w:val="12"/>
            </w:rPr>
            <w:t>2、指导教师审核课题</w:t>
          </w:r>
          <w:r>
            <w:tab/>
          </w:r>
          <w:r>
            <w:fldChar w:fldCharType="begin"/>
          </w:r>
          <w:r>
            <w:instrText xml:space="preserve"> PAGEREF _Toc79998004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"_Toc79998005" </w:instrText>
          </w:r>
          <w:r>
            <w:fldChar w:fldCharType="separate"/>
          </w:r>
          <w:r>
            <w:rPr>
              <w:rStyle w:val="12"/>
            </w:rPr>
            <w:t>3、学生提交替代论文初稿</w:t>
          </w:r>
          <w:r>
            <w:tab/>
          </w:r>
          <w:r>
            <w:fldChar w:fldCharType="begin"/>
          </w:r>
          <w:r>
            <w:instrText xml:space="preserve"> PAGEREF _Toc79998005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"_Toc79998006" </w:instrText>
          </w:r>
          <w:r>
            <w:fldChar w:fldCharType="separate"/>
          </w:r>
          <w:r>
            <w:rPr>
              <w:rStyle w:val="12"/>
            </w:rPr>
            <w:t>4、指导教师审核替代论文初稿</w:t>
          </w:r>
          <w:r>
            <w:tab/>
          </w:r>
          <w:r>
            <w:fldChar w:fldCharType="begin"/>
          </w:r>
          <w:r>
            <w:instrText xml:space="preserve"> PAGEREF _Toc79998006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"_Toc79998007" </w:instrText>
          </w:r>
          <w:r>
            <w:fldChar w:fldCharType="separate"/>
          </w:r>
          <w:r>
            <w:rPr>
              <w:rStyle w:val="12"/>
            </w:rPr>
            <w:t>5、教学秘书分配开题答辩组</w:t>
          </w:r>
          <w:r>
            <w:tab/>
          </w:r>
          <w:r>
            <w:fldChar w:fldCharType="begin"/>
          </w:r>
          <w:r>
            <w:instrText xml:space="preserve"> PAGEREF _Toc79998007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"_Toc79998008" </w:instrText>
          </w:r>
          <w:r>
            <w:fldChar w:fldCharType="separate"/>
          </w:r>
          <w:r>
            <w:rPr>
              <w:rStyle w:val="12"/>
            </w:rPr>
            <w:t>6、答辩组长进行开题答辩结果提交</w:t>
          </w:r>
          <w:r>
            <w:tab/>
          </w:r>
          <w:r>
            <w:fldChar w:fldCharType="begin"/>
          </w:r>
          <w:r>
            <w:instrText xml:space="preserve"> PAGEREF _Toc79998008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"_Toc79998009" </w:instrText>
          </w:r>
          <w:r>
            <w:fldChar w:fldCharType="separate"/>
          </w:r>
          <w:r>
            <w:rPr>
              <w:rStyle w:val="12"/>
            </w:rPr>
            <w:t>7、学生提交论文答辩稿</w:t>
          </w:r>
          <w:r>
            <w:tab/>
          </w:r>
          <w:r>
            <w:fldChar w:fldCharType="begin"/>
          </w:r>
          <w:r>
            <w:instrText xml:space="preserve"> PAGEREF _Toc79998009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"_Toc79998010" </w:instrText>
          </w:r>
          <w:r>
            <w:fldChar w:fldCharType="separate"/>
          </w:r>
          <w:r>
            <w:rPr>
              <w:rStyle w:val="12"/>
            </w:rPr>
            <w:t>8、指导教师审核论文答辩稿</w:t>
          </w:r>
          <w:r>
            <w:tab/>
          </w:r>
          <w:r>
            <w:fldChar w:fldCharType="begin"/>
          </w:r>
          <w:r>
            <w:instrText xml:space="preserve"> PAGEREF _Toc79998010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"_Toc79998011" </w:instrText>
          </w:r>
          <w:r>
            <w:fldChar w:fldCharType="separate"/>
          </w:r>
          <w:r>
            <w:rPr>
              <w:rStyle w:val="12"/>
            </w:rPr>
            <w:t>9、学生提交答辩申请（答辩资格审查）</w:t>
          </w:r>
          <w:r>
            <w:tab/>
          </w:r>
          <w:r>
            <w:fldChar w:fldCharType="begin"/>
          </w:r>
          <w:r>
            <w:instrText xml:space="preserve"> PAGEREF _Toc79998011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"_Toc79998012" </w:instrText>
          </w:r>
          <w:r>
            <w:fldChar w:fldCharType="separate"/>
          </w:r>
          <w:r>
            <w:rPr>
              <w:rStyle w:val="12"/>
            </w:rPr>
            <w:t>10、指导教师审核答辩申请（答辩资格审查）</w:t>
          </w:r>
          <w:r>
            <w:tab/>
          </w:r>
          <w:r>
            <w:fldChar w:fldCharType="begin"/>
          </w:r>
          <w:r>
            <w:instrText xml:space="preserve"> PAGEREF _Toc79998012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"_Toc79998013" </w:instrText>
          </w:r>
          <w:r>
            <w:fldChar w:fldCharType="separate"/>
          </w:r>
          <w:r>
            <w:rPr>
              <w:rStyle w:val="12"/>
            </w:rPr>
            <w:t>11、指导教师评分</w:t>
          </w:r>
          <w:r>
            <w:tab/>
          </w:r>
          <w:r>
            <w:fldChar w:fldCharType="begin"/>
          </w:r>
          <w:r>
            <w:instrText xml:space="preserve"> PAGEREF _Toc79998013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"_Toc79998014" </w:instrText>
          </w:r>
          <w:r>
            <w:fldChar w:fldCharType="separate"/>
          </w:r>
          <w:r>
            <w:rPr>
              <w:rStyle w:val="12"/>
            </w:rPr>
            <w:t>12、学生提交答辩记录</w:t>
          </w:r>
          <w:r>
            <w:tab/>
          </w:r>
          <w:r>
            <w:fldChar w:fldCharType="begin"/>
          </w:r>
          <w:r>
            <w:instrText xml:space="preserve"> PAGEREF _Toc79998014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"_Toc79998015" </w:instrText>
          </w:r>
          <w:r>
            <w:fldChar w:fldCharType="separate"/>
          </w:r>
          <w:r>
            <w:rPr>
              <w:rStyle w:val="12"/>
            </w:rPr>
            <w:t>13、答辩组长审核答辩记录</w:t>
          </w:r>
          <w:r>
            <w:tab/>
          </w:r>
          <w:r>
            <w:fldChar w:fldCharType="begin"/>
          </w:r>
          <w:r>
            <w:instrText xml:space="preserve"> PAGEREF _Toc79998015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"_Toc79998016" </w:instrText>
          </w:r>
          <w:r>
            <w:fldChar w:fldCharType="separate"/>
          </w:r>
          <w:r>
            <w:rPr>
              <w:rStyle w:val="12"/>
            </w:rPr>
            <w:t>14、教学秘书分配答辩组</w:t>
          </w:r>
          <w:r>
            <w:tab/>
          </w:r>
          <w:r>
            <w:fldChar w:fldCharType="begin"/>
          </w:r>
          <w:r>
            <w:instrText xml:space="preserve"> PAGEREF _Toc79998016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"_Toc79998017" </w:instrText>
          </w:r>
          <w:r>
            <w:fldChar w:fldCharType="separate"/>
          </w:r>
          <w:r>
            <w:rPr>
              <w:rStyle w:val="12"/>
            </w:rPr>
            <w:t>15、答辩组长评分</w:t>
          </w:r>
          <w:r>
            <w:tab/>
          </w:r>
          <w:r>
            <w:fldChar w:fldCharType="begin"/>
          </w:r>
          <w:r>
            <w:instrText xml:space="preserve"> PAGEREF _Toc79998017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"_Toc79998018" </w:instrText>
          </w:r>
          <w:r>
            <w:fldChar w:fldCharType="separate"/>
          </w:r>
          <w:r>
            <w:rPr>
              <w:rStyle w:val="12"/>
            </w:rPr>
            <w:t>16、学生提交最终稿</w:t>
          </w:r>
          <w:r>
            <w:tab/>
          </w:r>
          <w:r>
            <w:fldChar w:fldCharType="begin"/>
          </w:r>
          <w:r>
            <w:instrText xml:space="preserve"> PAGEREF _Toc79998018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"_Toc79998019" </w:instrText>
          </w:r>
          <w:r>
            <w:fldChar w:fldCharType="separate"/>
          </w:r>
          <w:r>
            <w:rPr>
              <w:rStyle w:val="12"/>
            </w:rPr>
            <w:t>17、指导教师审核论文最终稿</w:t>
          </w:r>
          <w:r>
            <w:tab/>
          </w:r>
          <w:r>
            <w:fldChar w:fldCharType="begin"/>
          </w:r>
          <w:r>
            <w:instrText xml:space="preserve"> PAGEREF _Toc79998019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"_Toc79998020" </w:instrText>
          </w:r>
          <w:r>
            <w:fldChar w:fldCharType="separate"/>
          </w:r>
          <w:r>
            <w:rPr>
              <w:rStyle w:val="12"/>
            </w:rPr>
            <w:t>四、指导日志环节</w:t>
          </w:r>
          <w:r>
            <w:tab/>
          </w:r>
          <w:r>
            <w:fldChar w:fldCharType="begin"/>
          </w:r>
          <w:r>
            <w:instrText xml:space="preserve"> PAGEREF _Toc79998020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"_Toc79998021" </w:instrText>
          </w:r>
          <w:r>
            <w:fldChar w:fldCharType="separate"/>
          </w:r>
          <w:r>
            <w:rPr>
              <w:rStyle w:val="12"/>
            </w:rPr>
            <w:t>1、学生提交指导日志</w:t>
          </w:r>
          <w:r>
            <w:tab/>
          </w:r>
          <w:r>
            <w:fldChar w:fldCharType="begin"/>
          </w:r>
          <w:r>
            <w:instrText xml:space="preserve"> PAGEREF _Toc79998021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"_Toc79998022" </w:instrText>
          </w:r>
          <w:r>
            <w:fldChar w:fldCharType="separate"/>
          </w:r>
          <w:r>
            <w:rPr>
              <w:rStyle w:val="12"/>
            </w:rPr>
            <w:t>2、指导老师审核指导日志</w:t>
          </w:r>
          <w:r>
            <w:tab/>
          </w:r>
          <w:r>
            <w:fldChar w:fldCharType="begin"/>
          </w:r>
          <w:r>
            <w:instrText xml:space="preserve"> PAGEREF _Toc79998022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"_Toc79998026"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五</w:t>
          </w:r>
          <w:r>
            <w:rPr>
              <w:rStyle w:val="12"/>
            </w:rPr>
            <w:t>、课题信息修改流程</w:t>
          </w:r>
          <w:r>
            <w:tab/>
          </w:r>
          <w:r>
            <w:fldChar w:fldCharType="begin"/>
          </w:r>
          <w:r>
            <w:instrText xml:space="preserve"> PAGEREF _Toc79998026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"_Toc79998027" </w:instrText>
          </w:r>
          <w:r>
            <w:fldChar w:fldCharType="separate"/>
          </w:r>
          <w:r>
            <w:rPr>
              <w:rStyle w:val="12"/>
            </w:rPr>
            <w:t>1、学生提交课题信息修改申请</w:t>
          </w:r>
          <w:r>
            <w:tab/>
          </w:r>
          <w:r>
            <w:fldChar w:fldCharType="begin"/>
          </w:r>
          <w:r>
            <w:instrText xml:space="preserve"> PAGEREF _Toc79998027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"_Toc79998028" </w:instrText>
          </w:r>
          <w:r>
            <w:fldChar w:fldCharType="separate"/>
          </w:r>
          <w:r>
            <w:rPr>
              <w:rStyle w:val="12"/>
            </w:rPr>
            <w:t>2、指导教师审核课题信息修改申请</w:t>
          </w:r>
          <w:r>
            <w:tab/>
          </w:r>
          <w:r>
            <w:fldChar w:fldCharType="begin"/>
          </w:r>
          <w:r>
            <w:instrText xml:space="preserve"> PAGEREF _Toc79998028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spacing w:line="360" w:lineRule="auto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pStyle w:val="2"/>
        <w:spacing w:before="0" w:after="0" w:line="360" w:lineRule="auto"/>
      </w:pPr>
    </w:p>
    <w:p>
      <w:pPr>
        <w:widowControl/>
        <w:jc w:val="left"/>
        <w:rPr>
          <w:b/>
          <w:kern w:val="44"/>
          <w:sz w:val="44"/>
        </w:rPr>
      </w:pPr>
    </w:p>
    <w:p>
      <w:pPr>
        <w:pStyle w:val="2"/>
        <w:numPr>
          <w:ilvl w:val="0"/>
          <w:numId w:val="1"/>
        </w:numPr>
        <w:spacing w:before="0" w:after="0" w:line="360" w:lineRule="auto"/>
      </w:pPr>
      <w:bookmarkStart w:id="1" w:name="_Toc79998000"/>
      <w:r>
        <w:rPr>
          <w:rFonts w:hint="eastAsia"/>
        </w:rPr>
        <w:t>系统登录</w:t>
      </w:r>
      <w:bookmarkEnd w:id="1"/>
    </w:p>
    <w:p>
      <w:pPr>
        <w:spacing w:line="360" w:lineRule="auto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</w:rPr>
        <w:t>打开网址http://vpcs.cqvip.com/organ/lib/xzzjnu/，选择“毕业论文（设计）登录”，输入账号和密码（</w:t>
      </w:r>
      <w:r>
        <w:rPr>
          <w:rFonts w:hint="eastAsia" w:ascii="微软雅黑" w:hAnsi="微软雅黑" w:eastAsia="微软雅黑"/>
          <w:color w:val="FF0000"/>
        </w:rPr>
        <w:t>账号一般为学号/工号，初始密码：123456）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，点击登录即可。</w:t>
      </w:r>
    </w:p>
    <w:p>
      <w:pPr>
        <w:spacing w:line="360" w:lineRule="auto"/>
      </w:pPr>
      <w:r>
        <w:drawing>
          <wp:inline distT="0" distB="0" distL="0" distR="0">
            <wp:extent cx="5262880" cy="2658110"/>
            <wp:effectExtent l="0" t="0" r="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0" distR="0">
            <wp:extent cx="5262880" cy="2658110"/>
            <wp:effectExtent l="0" t="0" r="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首页：登录后进入首页（教师有多个角色的还需要选择一次角色），所有角色可以看到工作流，工作流的作用如图所示：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注：由于学校的不同学院有不同的流程，老师角色的工作流是无法进行图中的跳转操作的（主要原因是老师可能在不同的学院/专业上），只做流程展示，但学生角色不受影响，可进行待处理业务的跳转操作。</w:t>
      </w:r>
    </w:p>
    <w:p>
      <w:pPr>
        <w:spacing w:line="360" w:lineRule="auto"/>
      </w:pPr>
      <w:r>
        <w:rPr>
          <w:rFonts w:hint="eastAsia"/>
        </w:rPr>
        <w:t>学生（不同专业学生有不同的流程，图中仅作示例）：</w:t>
      </w:r>
    </w:p>
    <w:p>
      <w:pPr>
        <w:spacing w:line="360" w:lineRule="auto"/>
      </w:pPr>
      <w:r>
        <w:drawing>
          <wp:inline distT="0" distB="0" distL="0" distR="0">
            <wp:extent cx="5274310" cy="26619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教师：</w:t>
      </w:r>
    </w:p>
    <w:p>
      <w:pPr>
        <w:spacing w:line="360" w:lineRule="auto"/>
      </w:pPr>
      <w:r>
        <w:drawing>
          <wp:inline distT="0" distB="0" distL="0" distR="0">
            <wp:extent cx="5274310" cy="26619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2"/>
        <w:spacing w:before="0" w:after="0" w:line="360" w:lineRule="auto"/>
      </w:pPr>
      <w:bookmarkStart w:id="2" w:name="_Toc79998001"/>
      <w:r>
        <w:rPr>
          <w:rFonts w:hint="eastAsia"/>
        </w:rPr>
        <w:t>二、个人信息填写</w:t>
      </w:r>
      <w:bookmarkEnd w:id="2"/>
    </w:p>
    <w:p>
      <w:pPr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第一步：点击左侧菜单进入“个人设置——个人信息”，这里可以填写自己的个人信息、电子签名等。</w:t>
      </w:r>
    </w:p>
    <w:p>
      <w:pPr>
        <w:spacing w:line="360" w:lineRule="auto"/>
      </w:pPr>
      <w:r>
        <w:drawing>
          <wp:inline distT="0" distB="0" distL="0" distR="0">
            <wp:extent cx="5274310" cy="26619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第二步：可根据自己需求在安全中心中进行绑定安全邮箱、开启待办消息提醒、绑定手机号、绑定微信、密码修改等操作。</w:t>
      </w:r>
    </w:p>
    <w:p>
      <w:pPr>
        <w:spacing w:line="360" w:lineRule="auto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26619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2"/>
        <w:spacing w:before="0" w:after="0" w:line="360" w:lineRule="auto"/>
      </w:pPr>
      <w:bookmarkStart w:id="3" w:name="_Toc19677"/>
      <w:bookmarkStart w:id="4" w:name="_Toc79998002"/>
      <w:r>
        <w:rPr>
          <w:rFonts w:hint="eastAsia"/>
        </w:rPr>
        <w:t>三、</w:t>
      </w:r>
      <w:bookmarkEnd w:id="3"/>
      <w:r>
        <w:rPr>
          <w:rFonts w:hint="eastAsia"/>
        </w:rPr>
        <w:t>系统主流程及操作方法</w:t>
      </w:r>
      <w:bookmarkEnd w:id="4"/>
      <w:r>
        <w:rPr>
          <w:rFonts w:hint="eastAsia"/>
        </w:rPr>
        <w:t xml:space="preserve"> </w:t>
      </w:r>
    </w:p>
    <w:p>
      <w:pPr>
        <w:pStyle w:val="2"/>
        <w:spacing w:before="0" w:after="0" w:line="360" w:lineRule="auto"/>
        <w:rPr>
          <w:sz w:val="32"/>
          <w:szCs w:val="32"/>
        </w:rPr>
      </w:pPr>
      <w:bookmarkStart w:id="5" w:name="_Toc79998003"/>
      <w:r>
        <w:rPr>
          <w:rFonts w:hint="eastAsia"/>
          <w:sz w:val="32"/>
          <w:szCs w:val="32"/>
        </w:rPr>
        <w:t>1、</w:t>
      </w:r>
      <w:r>
        <w:rPr>
          <w:rFonts w:hint="eastAsia"/>
          <w:color w:val="FF0000"/>
          <w:sz w:val="32"/>
          <w:szCs w:val="32"/>
        </w:rPr>
        <w:t>学生</w:t>
      </w:r>
      <w:r>
        <w:rPr>
          <w:rFonts w:hint="eastAsia"/>
          <w:sz w:val="32"/>
          <w:szCs w:val="32"/>
        </w:rPr>
        <w:t>申报课题</w:t>
      </w:r>
      <w:bookmarkEnd w:id="5"/>
    </w:p>
    <w:p>
      <w:pPr>
        <w:spacing w:line="360" w:lineRule="auto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学生点击左侧菜单进入“选题管理”—“课题”—“申报课题”页面。</w:t>
      </w:r>
    </w:p>
    <w:p>
      <w:pPr>
        <w:spacing w:line="360" w:lineRule="auto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点击表头的“新增”按钮。</w:t>
      </w:r>
    </w:p>
    <w:p>
      <w:pPr>
        <w:spacing w:line="360" w:lineRule="auto"/>
        <w:ind w:firstLine="480"/>
      </w:pPr>
      <w:r>
        <w:drawing>
          <wp:inline distT="0" distB="0" distL="0" distR="0">
            <wp:extent cx="5274310" cy="26619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在弹窗中，根据展示字段如实填写完成后，点击提交，即可成功申报课题，下一步就等待老师审核即可。</w:t>
      </w:r>
    </w:p>
    <w:p>
      <w:pPr>
        <w:spacing w:line="360" w:lineRule="auto"/>
        <w:ind w:firstLine="480"/>
      </w:pPr>
      <w:r>
        <w:drawing>
          <wp:inline distT="0" distB="0" distL="0" distR="0">
            <wp:extent cx="5274310" cy="30695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 w:line="360" w:lineRule="auto"/>
        <w:rPr>
          <w:sz w:val="32"/>
          <w:szCs w:val="32"/>
        </w:rPr>
      </w:pPr>
      <w:bookmarkStart w:id="6" w:name="_Toc79998004"/>
      <w:r>
        <w:rPr>
          <w:rFonts w:hint="eastAsia"/>
          <w:sz w:val="32"/>
          <w:szCs w:val="32"/>
        </w:rPr>
        <w:t>2、</w:t>
      </w:r>
      <w:r>
        <w:rPr>
          <w:rFonts w:hint="eastAsia"/>
          <w:color w:val="FF0000"/>
          <w:sz w:val="32"/>
          <w:szCs w:val="32"/>
        </w:rPr>
        <w:t>指导教师</w:t>
      </w:r>
      <w:r>
        <w:rPr>
          <w:rFonts w:hint="eastAsia"/>
          <w:sz w:val="32"/>
          <w:szCs w:val="32"/>
        </w:rPr>
        <w:t>审核课题</w:t>
      </w:r>
      <w:bookmarkEnd w:id="6"/>
    </w:p>
    <w:p>
      <w:pPr>
        <w:spacing w:line="360" w:lineRule="auto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指导教师点击左侧菜单进入“选题管理”—“课题”—“审核课题”页面。</w:t>
      </w:r>
    </w:p>
    <w:p>
      <w:pPr>
        <w:spacing w:line="360" w:lineRule="auto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点击“审核”按钮和“批量审核”按钮，在弹出页面中，可查看学生申报的课题信息，并进行审核意见以及审核通过与否的选择后，点击“提交”即可审核完成。</w:t>
      </w:r>
    </w:p>
    <w:p>
      <w:pPr>
        <w:spacing w:line="360" w:lineRule="auto"/>
        <w:ind w:firstLine="480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2533015"/>
            <wp:effectExtent l="0" t="0" r="254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</w:pPr>
    </w:p>
    <w:p>
      <w:pPr>
        <w:pStyle w:val="2"/>
        <w:spacing w:before="0" w:after="0" w:line="360" w:lineRule="auto"/>
        <w:rPr>
          <w:sz w:val="32"/>
          <w:szCs w:val="32"/>
        </w:rPr>
      </w:pPr>
      <w:bookmarkStart w:id="7" w:name="_Toc79998005"/>
      <w:r>
        <w:rPr>
          <w:sz w:val="32"/>
          <w:szCs w:val="32"/>
        </w:rPr>
        <w:t>3</w:t>
      </w:r>
      <w:r>
        <w:rPr>
          <w:rFonts w:hint="eastAsia"/>
          <w:sz w:val="32"/>
          <w:szCs w:val="32"/>
        </w:rPr>
        <w:t>、</w:t>
      </w:r>
      <w:r>
        <w:rPr>
          <w:rFonts w:hint="eastAsia"/>
          <w:color w:val="FF0000"/>
          <w:sz w:val="32"/>
          <w:szCs w:val="32"/>
        </w:rPr>
        <w:t>学生</w:t>
      </w:r>
      <w:r>
        <w:rPr>
          <w:rFonts w:hint="eastAsia"/>
          <w:sz w:val="32"/>
          <w:szCs w:val="32"/>
        </w:rPr>
        <w:t>提交替代论文初稿</w:t>
      </w:r>
      <w:bookmarkEnd w:id="7"/>
    </w:p>
    <w:p>
      <w:pPr>
        <w:spacing w:line="360" w:lineRule="auto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学生点击左侧菜单栏进入“过程管理”-“开题报告（替代论文初稿）”-“编辑开题报告（替代论文初稿）”页面。</w:t>
      </w:r>
    </w:p>
    <w:p>
      <w:pPr>
        <w:spacing w:line="360" w:lineRule="auto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点击“编辑按钮”，在弹出的页面中提交替代论文初稿，最后点击“提交”或者“暂存”即可，点击“提交”按钮会提交到老师处审核，退回前都无法修改，点击“暂存”不会提交到老师审核，还可以进行修改。</w:t>
      </w:r>
    </w:p>
    <w:p>
      <w:pPr>
        <w:spacing w:line="360" w:lineRule="auto"/>
        <w:ind w:firstLine="480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2533015"/>
            <wp:effectExtent l="0" t="0" r="254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 w:line="360" w:lineRule="auto"/>
        <w:rPr>
          <w:sz w:val="32"/>
          <w:szCs w:val="32"/>
        </w:rPr>
      </w:pPr>
      <w:bookmarkStart w:id="8" w:name="_Toc79998006"/>
      <w:r>
        <w:rPr>
          <w:sz w:val="32"/>
          <w:szCs w:val="32"/>
        </w:rPr>
        <w:t>4</w:t>
      </w:r>
      <w:r>
        <w:rPr>
          <w:rFonts w:hint="eastAsia"/>
          <w:sz w:val="32"/>
          <w:szCs w:val="32"/>
        </w:rPr>
        <w:t>、</w:t>
      </w:r>
      <w:r>
        <w:rPr>
          <w:rFonts w:hint="eastAsia"/>
          <w:color w:val="FF0000"/>
          <w:sz w:val="32"/>
          <w:szCs w:val="32"/>
        </w:rPr>
        <w:t>指导教师</w:t>
      </w:r>
      <w:r>
        <w:rPr>
          <w:rFonts w:hint="eastAsia"/>
          <w:sz w:val="32"/>
          <w:szCs w:val="32"/>
        </w:rPr>
        <w:t>审核替代论文初稿</w:t>
      </w:r>
      <w:bookmarkEnd w:id="8"/>
    </w:p>
    <w:p>
      <w:pPr>
        <w:spacing w:line="360" w:lineRule="auto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点击左侧菜单栏进入“过程管理”-‘开题报告（替代论文初稿）’-“审核开题报告（替代论文初稿”页面。</w:t>
      </w:r>
    </w:p>
    <w:p>
      <w:pPr>
        <w:spacing w:line="360" w:lineRule="auto"/>
        <w:ind w:firstLine="48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点击“审核”按钮，在弹出页面中填写审核意见、选择审核状态后点击“提交”即可，审核状态选择“通过“后将进入下一流程，选择“不通过”将退回到学生重新提交。</w:t>
      </w:r>
    </w:p>
    <w:p>
      <w:pPr>
        <w:spacing w:line="360" w:lineRule="auto"/>
        <w:ind w:firstLine="480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2661920"/>
            <wp:effectExtent l="0" t="0" r="2540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 w:line="360" w:lineRule="auto"/>
        <w:rPr>
          <w:sz w:val="32"/>
          <w:szCs w:val="32"/>
        </w:rPr>
      </w:pPr>
      <w:bookmarkStart w:id="9" w:name="_Toc79998007"/>
      <w:r>
        <w:rPr>
          <w:sz w:val="32"/>
          <w:szCs w:val="32"/>
        </w:rPr>
        <w:t>5</w:t>
      </w:r>
      <w:r>
        <w:rPr>
          <w:rFonts w:hint="eastAsia"/>
          <w:sz w:val="32"/>
          <w:szCs w:val="32"/>
        </w:rPr>
        <w:t>、</w:t>
      </w:r>
      <w:r>
        <w:rPr>
          <w:rFonts w:hint="eastAsia"/>
          <w:color w:val="FF0000"/>
          <w:sz w:val="32"/>
          <w:szCs w:val="32"/>
        </w:rPr>
        <w:t>教学秘书</w:t>
      </w:r>
      <w:r>
        <w:rPr>
          <w:rFonts w:hint="eastAsia"/>
          <w:sz w:val="32"/>
          <w:szCs w:val="32"/>
        </w:rPr>
        <w:t>分配开题答辩组</w:t>
      </w:r>
      <w:bookmarkEnd w:id="9"/>
    </w:p>
    <w:p>
      <w:pPr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教学秘书点击左侧菜单进入“评分管理”—“分配答辩组”页面进行替代论文初稿的审核。</w:t>
      </w:r>
    </w:p>
    <w:p>
      <w:pPr>
        <w:spacing w:line="360" w:lineRule="auto"/>
      </w:pPr>
      <w:r>
        <w:rPr>
          <w:rFonts w:hint="eastAsia" w:ascii="微软雅黑" w:hAnsi="微软雅黑" w:eastAsia="微软雅黑"/>
        </w:rPr>
        <w:t>点击弹框中的“开题答辩组审核”按钮进入开题答辩的分配页面，详细操作方式可查看下图。</w:t>
      </w:r>
    </w:p>
    <w:p>
      <w:pPr>
        <w:spacing w:line="360" w:lineRule="auto"/>
      </w:pPr>
      <w:r>
        <w:drawing>
          <wp:inline distT="0" distB="0" distL="114300" distR="114300">
            <wp:extent cx="5258435" cy="2411095"/>
            <wp:effectExtent l="0" t="0" r="18415" b="825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0" distR="0">
            <wp:extent cx="5274310" cy="2533015"/>
            <wp:effectExtent l="0" t="0" r="254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 w:line="360" w:lineRule="auto"/>
        <w:rPr>
          <w:sz w:val="32"/>
          <w:szCs w:val="32"/>
        </w:rPr>
      </w:pPr>
      <w:bookmarkStart w:id="10" w:name="_Toc79998008"/>
      <w:r>
        <w:rPr>
          <w:sz w:val="32"/>
          <w:szCs w:val="32"/>
        </w:rPr>
        <w:t>6</w:t>
      </w:r>
      <w:r>
        <w:rPr>
          <w:rFonts w:hint="eastAsia"/>
          <w:sz w:val="32"/>
          <w:szCs w:val="32"/>
        </w:rPr>
        <w:t>、答辩组长进行开题答辩结果提交</w:t>
      </w:r>
      <w:bookmarkEnd w:id="10"/>
    </w:p>
    <w:p>
      <w:pPr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答辩组长点击左侧菜单进入“评分管理”—“开题答辩”页面。</w:t>
      </w:r>
    </w:p>
    <w:p>
      <w:pPr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点击“评分”按钮进行开题答辩结果的提交。</w:t>
      </w:r>
    </w:p>
    <w:p>
      <w:pPr>
        <w:spacing w:line="360" w:lineRule="auto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2533015"/>
            <wp:effectExtent l="0" t="0" r="2540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 w:line="360" w:lineRule="auto"/>
        <w:rPr>
          <w:sz w:val="32"/>
          <w:szCs w:val="32"/>
        </w:rPr>
      </w:pPr>
      <w:bookmarkStart w:id="11" w:name="_Toc79998009"/>
      <w:r>
        <w:rPr>
          <w:sz w:val="32"/>
          <w:szCs w:val="32"/>
        </w:rPr>
        <w:t>7</w:t>
      </w:r>
      <w:r>
        <w:rPr>
          <w:rFonts w:hint="eastAsia"/>
          <w:sz w:val="32"/>
          <w:szCs w:val="32"/>
        </w:rPr>
        <w:t>、</w:t>
      </w:r>
      <w:r>
        <w:rPr>
          <w:rFonts w:hint="eastAsia"/>
          <w:color w:val="FF0000"/>
          <w:sz w:val="32"/>
          <w:szCs w:val="32"/>
        </w:rPr>
        <w:t>学生</w:t>
      </w:r>
      <w:r>
        <w:rPr>
          <w:rFonts w:hint="eastAsia"/>
          <w:sz w:val="32"/>
          <w:szCs w:val="32"/>
        </w:rPr>
        <w:t>提交论文答辩稿</w:t>
      </w:r>
      <w:bookmarkEnd w:id="11"/>
    </w:p>
    <w:p>
      <w:pPr>
        <w:spacing w:line="360" w:lineRule="auto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操作同替代论文初稿环节一致。</w:t>
      </w:r>
    </w:p>
    <w:p>
      <w:pPr>
        <w:spacing w:line="360" w:lineRule="auto"/>
        <w:ind w:firstLine="480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2661920"/>
            <wp:effectExtent l="0" t="0" r="2540" b="508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rFonts w:ascii="微软雅黑" w:hAnsi="微软雅黑" w:eastAsia="微软雅黑"/>
          <w:color w:val="FF0000"/>
        </w:rPr>
      </w:pPr>
      <w:r>
        <w:rPr>
          <w:rFonts w:hint="eastAsia" w:ascii="微软雅黑" w:hAnsi="微软雅黑" w:eastAsia="微软雅黑"/>
          <w:color w:val="FF0000"/>
        </w:rPr>
        <w:t>注：文件类型（比如稿件）上传后可删除、可预览、可下载。</w:t>
      </w:r>
    </w:p>
    <w:p>
      <w:pPr>
        <w:pStyle w:val="2"/>
        <w:spacing w:before="0" w:after="0" w:line="360" w:lineRule="auto"/>
        <w:rPr>
          <w:sz w:val="32"/>
          <w:szCs w:val="32"/>
        </w:rPr>
      </w:pPr>
      <w:bookmarkStart w:id="12" w:name="_Toc79998010"/>
      <w:r>
        <w:rPr>
          <w:sz w:val="32"/>
          <w:szCs w:val="32"/>
        </w:rPr>
        <w:t>8</w:t>
      </w:r>
      <w:r>
        <w:rPr>
          <w:rFonts w:hint="eastAsia"/>
          <w:sz w:val="32"/>
          <w:szCs w:val="32"/>
        </w:rPr>
        <w:t>、</w:t>
      </w:r>
      <w:r>
        <w:rPr>
          <w:rFonts w:hint="eastAsia"/>
          <w:color w:val="FF0000"/>
          <w:sz w:val="32"/>
          <w:szCs w:val="32"/>
        </w:rPr>
        <w:t>指导教师</w:t>
      </w:r>
      <w:r>
        <w:rPr>
          <w:rFonts w:hint="eastAsia"/>
          <w:sz w:val="32"/>
          <w:szCs w:val="32"/>
        </w:rPr>
        <w:t>审核论文答辩稿</w:t>
      </w:r>
      <w:bookmarkEnd w:id="12"/>
    </w:p>
    <w:p>
      <w:pPr>
        <w:spacing w:line="360" w:lineRule="auto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操作同替代论文初稿环节一致。</w:t>
      </w:r>
    </w:p>
    <w:p>
      <w:pPr>
        <w:spacing w:line="360" w:lineRule="auto"/>
        <w:ind w:firstLine="480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2533015"/>
            <wp:effectExtent l="0" t="0" r="2540" b="63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rFonts w:ascii="微软雅黑" w:hAnsi="微软雅黑" w:eastAsia="微软雅黑"/>
          <w:color w:val="FF0000"/>
        </w:rPr>
      </w:pPr>
      <w:r>
        <w:rPr>
          <w:rFonts w:hint="eastAsia" w:ascii="微软雅黑" w:hAnsi="微软雅黑" w:eastAsia="微软雅黑"/>
          <w:color w:val="FF0000"/>
        </w:rPr>
        <w:t>注：老师在审核时，可对学生的论文答辩稿进行批注、下载、预览的操作。</w:t>
      </w:r>
    </w:p>
    <w:p>
      <w:pPr>
        <w:spacing w:line="360" w:lineRule="auto"/>
        <w:ind w:firstLine="562"/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在线批注功能</w:t>
      </w:r>
    </w:p>
    <w:p>
      <w:pPr>
        <w:spacing w:line="360" w:lineRule="auto"/>
        <w:ind w:firstLine="480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审核时点击弹框中的“批注”按钮后系统会自动跳转到批注论文的批注界面，我们如果想要对论文的内容进行批注，只需要用鼠标选中论文中的文字，选中之后会自动弹出一个编辑按钮，我们点击编辑按钮，就可以输入我们想要批注的信息，输入完成后点击保存即可。如下图所示</w:t>
      </w:r>
    </w:p>
    <w:p>
      <w:pPr>
        <w:spacing w:line="360" w:lineRule="auto"/>
        <w:jc w:val="left"/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305050"/>
            <wp:effectExtent l="19050" t="19050" r="21590" b="190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5050"/>
                    </a:xfrm>
                    <a:prstGeom prst="rect">
                      <a:avLst/>
                    </a:prstGeom>
                    <a:ln cmpd="dbl">
                      <a:solidFill>
                        <a:schemeClr val="tx1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962275"/>
            <wp:effectExtent l="19050" t="19050" r="21590" b="2857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 w:line="360" w:lineRule="auto"/>
        <w:rPr>
          <w:sz w:val="32"/>
          <w:szCs w:val="32"/>
        </w:rPr>
      </w:pPr>
      <w:bookmarkStart w:id="13" w:name="_Toc79998011"/>
      <w:r>
        <w:rPr>
          <w:sz w:val="32"/>
          <w:szCs w:val="32"/>
        </w:rPr>
        <w:t>9</w:t>
      </w:r>
      <w:r>
        <w:rPr>
          <w:rFonts w:hint="eastAsia"/>
          <w:sz w:val="32"/>
          <w:szCs w:val="32"/>
        </w:rPr>
        <w:t>、</w:t>
      </w:r>
      <w:r>
        <w:rPr>
          <w:rFonts w:hint="eastAsia"/>
          <w:color w:val="FF0000"/>
          <w:sz w:val="32"/>
          <w:szCs w:val="32"/>
        </w:rPr>
        <w:t>学生</w:t>
      </w:r>
      <w:r>
        <w:rPr>
          <w:rFonts w:hint="eastAsia"/>
          <w:sz w:val="32"/>
          <w:szCs w:val="32"/>
        </w:rPr>
        <w:t>提交答辩申请（答辩资格审查）</w:t>
      </w:r>
      <w:bookmarkEnd w:id="13"/>
    </w:p>
    <w:p>
      <w:pPr>
        <w:spacing w:line="360" w:lineRule="auto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学生点击左侧菜单栏“答辩管理”—“答辩资格审查”—“编辑答辩资格审查”页面。</w:t>
      </w:r>
    </w:p>
    <w:p>
      <w:pPr>
        <w:spacing w:line="360" w:lineRule="auto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点击“编辑”按钮，完善答辩资格审查内容后，点击“暂存”或“提交”进行答辩资格审查的保存或提交到审核阶段。</w:t>
      </w:r>
    </w:p>
    <w:p>
      <w:pPr>
        <w:spacing w:line="360" w:lineRule="auto"/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661920"/>
            <wp:effectExtent l="0" t="0" r="2540" b="508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 w:line="360" w:lineRule="auto"/>
        <w:rPr>
          <w:sz w:val="32"/>
          <w:szCs w:val="32"/>
        </w:rPr>
      </w:pPr>
      <w:bookmarkStart w:id="14" w:name="_Toc79998012"/>
      <w:r>
        <w:rPr>
          <w:sz w:val="32"/>
          <w:szCs w:val="32"/>
        </w:rPr>
        <w:t>10</w:t>
      </w:r>
      <w:r>
        <w:rPr>
          <w:rFonts w:hint="eastAsia"/>
          <w:sz w:val="32"/>
          <w:szCs w:val="32"/>
        </w:rPr>
        <w:t>、</w:t>
      </w:r>
      <w:r>
        <w:rPr>
          <w:rFonts w:hint="eastAsia"/>
          <w:color w:val="FF0000"/>
          <w:sz w:val="32"/>
          <w:szCs w:val="32"/>
        </w:rPr>
        <w:t>指导教师</w:t>
      </w:r>
      <w:r>
        <w:rPr>
          <w:rFonts w:hint="eastAsia"/>
          <w:sz w:val="32"/>
          <w:szCs w:val="32"/>
        </w:rPr>
        <w:t>审核答辩申请（答辩资格审查）</w:t>
      </w:r>
      <w:bookmarkEnd w:id="14"/>
    </w:p>
    <w:p>
      <w:pPr>
        <w:spacing w:line="360" w:lineRule="auto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操作与替代论文初稿审核环节一致。</w:t>
      </w:r>
    </w:p>
    <w:p>
      <w:pPr>
        <w:spacing w:line="360" w:lineRule="auto"/>
        <w:ind w:firstLine="480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2533015"/>
            <wp:effectExtent l="0" t="0" r="2540" b="63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 w:line="360" w:lineRule="auto"/>
        <w:rPr>
          <w:sz w:val="32"/>
          <w:szCs w:val="32"/>
        </w:rPr>
      </w:pPr>
      <w:bookmarkStart w:id="15" w:name="_Toc79998013"/>
      <w:r>
        <w:rPr>
          <w:sz w:val="32"/>
          <w:szCs w:val="32"/>
        </w:rPr>
        <w:t>11</w:t>
      </w:r>
      <w:r>
        <w:rPr>
          <w:rFonts w:hint="eastAsia"/>
          <w:sz w:val="32"/>
          <w:szCs w:val="32"/>
        </w:rPr>
        <w:t>、</w:t>
      </w:r>
      <w:r>
        <w:rPr>
          <w:rFonts w:hint="eastAsia"/>
          <w:color w:val="FF0000"/>
          <w:sz w:val="32"/>
          <w:szCs w:val="32"/>
        </w:rPr>
        <w:t>指导教师</w:t>
      </w:r>
      <w:r>
        <w:rPr>
          <w:rFonts w:hint="eastAsia"/>
          <w:sz w:val="32"/>
          <w:szCs w:val="32"/>
        </w:rPr>
        <w:t>评分</w:t>
      </w:r>
      <w:bookmarkEnd w:id="15"/>
    </w:p>
    <w:p>
      <w:pPr>
        <w:spacing w:line="360" w:lineRule="auto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指导教师点击左侧菜单栏“评分管理”—“答辩稿指导教师评分”页面。</w:t>
      </w:r>
    </w:p>
    <w:p>
      <w:pPr>
        <w:spacing w:line="360" w:lineRule="auto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点击“评分”按钮，在弹出页面中对学生的答辩稿进行评分及评分意见的填写，最后点击“提交”或“暂存”即可，“提交”将提交到系统中去进行总评的换算，“暂存”后还可以进行修改，不会提交到系统中。</w:t>
      </w:r>
    </w:p>
    <w:p>
      <w:pPr>
        <w:spacing w:line="360" w:lineRule="auto"/>
        <w:ind w:firstLine="480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2533015"/>
            <wp:effectExtent l="0" t="0" r="254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 w:line="360" w:lineRule="auto"/>
        <w:rPr>
          <w:sz w:val="32"/>
          <w:szCs w:val="32"/>
        </w:rPr>
      </w:pPr>
      <w:bookmarkStart w:id="16" w:name="_Toc79998014"/>
      <w:r>
        <w:rPr>
          <w:sz w:val="32"/>
          <w:szCs w:val="32"/>
        </w:rPr>
        <w:t>12</w:t>
      </w:r>
      <w:r>
        <w:rPr>
          <w:rFonts w:hint="eastAsia"/>
          <w:sz w:val="32"/>
          <w:szCs w:val="32"/>
        </w:rPr>
        <w:t>、</w:t>
      </w:r>
      <w:r>
        <w:rPr>
          <w:rFonts w:hint="eastAsia"/>
          <w:color w:val="FF0000"/>
          <w:sz w:val="32"/>
          <w:szCs w:val="32"/>
        </w:rPr>
        <w:t>学生</w:t>
      </w:r>
      <w:r>
        <w:rPr>
          <w:rFonts w:hint="eastAsia"/>
          <w:sz w:val="32"/>
          <w:szCs w:val="32"/>
        </w:rPr>
        <w:t>提交答辩记录</w:t>
      </w:r>
      <w:bookmarkEnd w:id="16"/>
    </w:p>
    <w:p>
      <w:pPr>
        <w:spacing w:line="360" w:lineRule="auto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学生点击左侧菜单栏“过程管理”—“答辩记录”—“编辑答辩记录”页面。</w:t>
      </w:r>
    </w:p>
    <w:p>
      <w:pPr>
        <w:spacing w:line="360" w:lineRule="auto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点击“编辑”按钮，在弹出页面中填写答辩记录内容，最后点击“提交”或“暂存”即可，“提交”将提交到答辩组长处进行审核，“暂存”后还可以进行修改，不会提交到系统中。</w:t>
      </w:r>
    </w:p>
    <w:p>
      <w:pPr>
        <w:spacing w:line="360" w:lineRule="auto"/>
        <w:ind w:firstLine="480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266192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 w:line="360" w:lineRule="auto"/>
        <w:rPr>
          <w:sz w:val="32"/>
          <w:szCs w:val="32"/>
        </w:rPr>
      </w:pPr>
      <w:bookmarkStart w:id="17" w:name="_Toc79998015"/>
      <w:r>
        <w:rPr>
          <w:sz w:val="32"/>
          <w:szCs w:val="32"/>
        </w:rPr>
        <w:t>13</w:t>
      </w:r>
      <w:r>
        <w:rPr>
          <w:rFonts w:hint="eastAsia"/>
          <w:sz w:val="32"/>
          <w:szCs w:val="32"/>
        </w:rPr>
        <w:t>、</w:t>
      </w:r>
      <w:r>
        <w:rPr>
          <w:rFonts w:hint="eastAsia"/>
          <w:color w:val="FF0000"/>
          <w:sz w:val="32"/>
          <w:szCs w:val="32"/>
        </w:rPr>
        <w:t>答辩组长</w:t>
      </w:r>
      <w:r>
        <w:rPr>
          <w:rFonts w:hint="eastAsia"/>
          <w:sz w:val="32"/>
          <w:szCs w:val="32"/>
        </w:rPr>
        <w:t>审核答辩记录</w:t>
      </w:r>
      <w:bookmarkEnd w:id="17"/>
    </w:p>
    <w:p>
      <w:pPr>
        <w:spacing w:line="360" w:lineRule="auto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操作与替代论文初稿审核环节一致。</w:t>
      </w:r>
    </w:p>
    <w:p>
      <w:pPr>
        <w:spacing w:line="360" w:lineRule="auto"/>
        <w:ind w:firstLine="480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2533015"/>
            <wp:effectExtent l="0" t="0" r="254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rFonts w:ascii="微软雅黑" w:hAnsi="微软雅黑" w:eastAsia="微软雅黑"/>
        </w:rPr>
      </w:pPr>
    </w:p>
    <w:p>
      <w:pPr>
        <w:pStyle w:val="2"/>
        <w:spacing w:before="0" w:after="0" w:line="360" w:lineRule="auto"/>
        <w:rPr>
          <w:sz w:val="32"/>
          <w:szCs w:val="32"/>
        </w:rPr>
      </w:pPr>
      <w:bookmarkStart w:id="18" w:name="_Toc79998016"/>
      <w:r>
        <w:rPr>
          <w:sz w:val="32"/>
          <w:szCs w:val="32"/>
        </w:rPr>
        <w:t>14</w:t>
      </w:r>
      <w:r>
        <w:rPr>
          <w:rFonts w:hint="eastAsia"/>
          <w:sz w:val="32"/>
          <w:szCs w:val="32"/>
        </w:rPr>
        <w:t>、</w:t>
      </w:r>
      <w:r>
        <w:rPr>
          <w:rFonts w:hint="eastAsia"/>
          <w:color w:val="FF0000"/>
          <w:sz w:val="32"/>
          <w:szCs w:val="32"/>
        </w:rPr>
        <w:t>教学秘书</w:t>
      </w:r>
      <w:r>
        <w:rPr>
          <w:rFonts w:hint="eastAsia"/>
          <w:sz w:val="32"/>
          <w:szCs w:val="32"/>
        </w:rPr>
        <w:t>分配答辩组</w:t>
      </w:r>
      <w:bookmarkEnd w:id="18"/>
    </w:p>
    <w:p>
      <w:pPr>
        <w:spacing w:line="360" w:lineRule="auto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操作与分配开题答辩组环节一致。（注：进入的时候要选择“答辩组评分”，开题答辩结束后就可以进行结题答辩组的分配）</w:t>
      </w:r>
    </w:p>
    <w:p>
      <w:pPr>
        <w:spacing w:line="360" w:lineRule="auto"/>
        <w:ind w:firstLine="480"/>
        <w:rPr>
          <w:rFonts w:ascii="微软雅黑" w:hAnsi="微软雅黑" w:eastAsia="微软雅黑"/>
        </w:rPr>
      </w:pPr>
      <w:r>
        <w:drawing>
          <wp:inline distT="0" distB="0" distL="114300" distR="114300">
            <wp:extent cx="5274310" cy="2439035"/>
            <wp:effectExtent l="0" t="0" r="2540" b="1841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2533015"/>
            <wp:effectExtent l="0" t="0" r="254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rFonts w:ascii="微软雅黑" w:hAnsi="微软雅黑" w:eastAsia="微软雅黑"/>
        </w:rPr>
      </w:pPr>
    </w:p>
    <w:p>
      <w:pPr>
        <w:pStyle w:val="2"/>
        <w:spacing w:before="0" w:after="0" w:line="360" w:lineRule="auto"/>
        <w:rPr>
          <w:sz w:val="32"/>
          <w:szCs w:val="32"/>
        </w:rPr>
      </w:pPr>
      <w:bookmarkStart w:id="19" w:name="_Toc79998017"/>
      <w:r>
        <w:rPr>
          <w:sz w:val="32"/>
          <w:szCs w:val="32"/>
        </w:rPr>
        <w:t>15</w:t>
      </w:r>
      <w:r>
        <w:rPr>
          <w:rFonts w:hint="eastAsia"/>
          <w:sz w:val="32"/>
          <w:szCs w:val="32"/>
        </w:rPr>
        <w:t>、</w:t>
      </w:r>
      <w:r>
        <w:rPr>
          <w:rFonts w:hint="eastAsia"/>
          <w:color w:val="FF0000"/>
          <w:sz w:val="32"/>
          <w:szCs w:val="32"/>
        </w:rPr>
        <w:t>答辩组长</w:t>
      </w:r>
      <w:r>
        <w:rPr>
          <w:rFonts w:hint="eastAsia"/>
          <w:sz w:val="32"/>
          <w:szCs w:val="32"/>
        </w:rPr>
        <w:t>评分</w:t>
      </w:r>
      <w:bookmarkEnd w:id="19"/>
    </w:p>
    <w:p>
      <w:pPr>
        <w:spacing w:line="360" w:lineRule="auto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操作与指导教师评分环节一致。（</w:t>
      </w:r>
      <w:r>
        <w:rPr>
          <w:rFonts w:hint="eastAsia" w:ascii="微软雅黑" w:hAnsi="微软雅黑" w:eastAsia="微软雅黑"/>
          <w:color w:val="FF0000"/>
        </w:rPr>
        <w:t>需等答辩记录完成后才能进行</w:t>
      </w:r>
      <w:r>
        <w:rPr>
          <w:rFonts w:hint="eastAsia" w:ascii="微软雅黑" w:hAnsi="微软雅黑" w:eastAsia="微软雅黑"/>
        </w:rPr>
        <w:t>）</w:t>
      </w:r>
    </w:p>
    <w:p>
      <w:pPr>
        <w:spacing w:line="360" w:lineRule="auto"/>
        <w:ind w:firstLine="480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2533015"/>
            <wp:effectExtent l="0" t="0" r="254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 w:line="360" w:lineRule="auto"/>
        <w:rPr>
          <w:sz w:val="32"/>
          <w:szCs w:val="32"/>
        </w:rPr>
      </w:pPr>
      <w:bookmarkStart w:id="20" w:name="_Toc79998018"/>
      <w:r>
        <w:rPr>
          <w:sz w:val="32"/>
          <w:szCs w:val="32"/>
        </w:rPr>
        <w:t>16</w:t>
      </w:r>
      <w:r>
        <w:rPr>
          <w:rFonts w:hint="eastAsia"/>
          <w:sz w:val="32"/>
          <w:szCs w:val="32"/>
        </w:rPr>
        <w:t>、</w:t>
      </w:r>
      <w:r>
        <w:rPr>
          <w:rFonts w:hint="eastAsia"/>
          <w:color w:val="FF0000"/>
          <w:sz w:val="32"/>
          <w:szCs w:val="32"/>
        </w:rPr>
        <w:t>学生</w:t>
      </w:r>
      <w:r>
        <w:rPr>
          <w:rFonts w:hint="eastAsia"/>
          <w:sz w:val="32"/>
          <w:szCs w:val="32"/>
        </w:rPr>
        <w:t>提交最终稿</w:t>
      </w:r>
      <w:bookmarkEnd w:id="20"/>
    </w:p>
    <w:p>
      <w:pPr>
        <w:spacing w:line="360" w:lineRule="auto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操作与答辩稿环节一致。（注：最终稿中要提交所有的过程数据进行留档，每个都是必填项，需保证上传的是最后要进行归档的文件）</w:t>
      </w:r>
    </w:p>
    <w:p>
      <w:pPr>
        <w:spacing w:line="360" w:lineRule="auto"/>
        <w:ind w:firstLine="480"/>
        <w:rPr>
          <w:rFonts w:ascii="微软雅黑" w:hAnsi="微软雅黑" w:eastAsia="微软雅黑"/>
        </w:rPr>
      </w:pPr>
      <w:r>
        <w:drawing>
          <wp:inline distT="0" distB="0" distL="114300" distR="114300">
            <wp:extent cx="5263515" cy="2447290"/>
            <wp:effectExtent l="0" t="0" r="13335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8" w:name="_GoBack"/>
      <w:bookmarkEnd w:id="28"/>
    </w:p>
    <w:p>
      <w:pPr>
        <w:pStyle w:val="2"/>
        <w:spacing w:before="0" w:after="0" w:line="360" w:lineRule="auto"/>
        <w:rPr>
          <w:sz w:val="32"/>
          <w:szCs w:val="32"/>
        </w:rPr>
      </w:pPr>
      <w:bookmarkStart w:id="21" w:name="_Toc79998019"/>
      <w:r>
        <w:rPr>
          <w:sz w:val="32"/>
          <w:szCs w:val="32"/>
        </w:rPr>
        <w:t>17</w:t>
      </w:r>
      <w:r>
        <w:rPr>
          <w:rFonts w:hint="eastAsia"/>
          <w:sz w:val="32"/>
          <w:szCs w:val="32"/>
        </w:rPr>
        <w:t>、</w:t>
      </w:r>
      <w:r>
        <w:rPr>
          <w:rFonts w:hint="eastAsia"/>
          <w:color w:val="FF0000"/>
          <w:sz w:val="32"/>
          <w:szCs w:val="32"/>
        </w:rPr>
        <w:t>指导教师</w:t>
      </w:r>
      <w:r>
        <w:rPr>
          <w:rFonts w:hint="eastAsia"/>
          <w:sz w:val="32"/>
          <w:szCs w:val="32"/>
        </w:rPr>
        <w:t>审核论文最终稿</w:t>
      </w:r>
      <w:bookmarkEnd w:id="21"/>
    </w:p>
    <w:p>
      <w:pPr>
        <w:spacing w:line="360" w:lineRule="auto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操作与论文答辩稿环节一致。</w:t>
      </w:r>
    </w:p>
    <w:p>
      <w:pPr>
        <w:spacing w:line="360" w:lineRule="auto"/>
        <w:ind w:firstLine="480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2533015"/>
            <wp:effectExtent l="0" t="0" r="2540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pStyle w:val="2"/>
        <w:snapToGrid w:val="0"/>
        <w:spacing w:before="0" w:after="0" w:line="360" w:lineRule="auto"/>
      </w:pPr>
      <w:bookmarkStart w:id="22" w:name="_Toc79998020"/>
      <w:r>
        <w:rPr>
          <w:rFonts w:hint="eastAsia"/>
        </w:rPr>
        <w:t>四、指导日志环节</w:t>
      </w:r>
      <w:bookmarkEnd w:id="22"/>
    </w:p>
    <w:p>
      <w:pPr>
        <w:pStyle w:val="2"/>
        <w:snapToGrid w:val="0"/>
        <w:spacing w:before="0" w:after="0" w:line="360" w:lineRule="auto"/>
        <w:rPr>
          <w:sz w:val="32"/>
          <w:szCs w:val="32"/>
        </w:rPr>
      </w:pPr>
      <w:bookmarkStart w:id="23" w:name="_Toc79998021"/>
      <w:r>
        <w:rPr>
          <w:rFonts w:hint="eastAsia"/>
          <w:sz w:val="32"/>
          <w:szCs w:val="32"/>
        </w:rPr>
        <w:t>1、</w:t>
      </w:r>
      <w:r>
        <w:rPr>
          <w:rFonts w:hint="eastAsia"/>
          <w:color w:val="FF0000"/>
          <w:sz w:val="32"/>
          <w:szCs w:val="32"/>
        </w:rPr>
        <w:t>学生</w:t>
      </w:r>
      <w:r>
        <w:rPr>
          <w:rFonts w:hint="eastAsia"/>
          <w:sz w:val="32"/>
          <w:szCs w:val="32"/>
        </w:rPr>
        <w:t>提交指导日志</w:t>
      </w:r>
      <w:bookmarkEnd w:id="23"/>
    </w:p>
    <w:p>
      <w:pPr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学生选题完成后，学生可上传指导日志</w:t>
      </w:r>
    </w:p>
    <w:p>
      <w:pPr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第一步：学生点击左侧菜单栏“过程管理”—“指导日志”—“编辑指导日志”。</w:t>
      </w:r>
    </w:p>
    <w:p>
      <w:pPr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第二步：点击“查看/新增”按钮可查看已提交的指导日志，也可进行指导日志的添加。</w:t>
      </w:r>
    </w:p>
    <w:p>
      <w:pPr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第三步：再弹出的页面点击“新增”按钮，即可去填写指导日志内容，点击“提交”或“暂存”即可，“暂存”还可以修改，点击“提交”后无法进行修改。</w:t>
      </w:r>
    </w:p>
    <w:p>
      <w:pPr>
        <w:spacing w:line="360" w:lineRule="auto"/>
      </w:pPr>
      <w:r>
        <w:drawing>
          <wp:inline distT="0" distB="0" distL="0" distR="0">
            <wp:extent cx="5274310" cy="2661920"/>
            <wp:effectExtent l="0" t="0" r="2540" b="508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napToGrid w:val="0"/>
        <w:spacing w:before="0" w:after="0" w:line="360" w:lineRule="auto"/>
        <w:rPr>
          <w:sz w:val="32"/>
          <w:szCs w:val="32"/>
        </w:rPr>
      </w:pPr>
      <w:bookmarkStart w:id="24" w:name="_Toc79998022"/>
      <w:r>
        <w:rPr>
          <w:rFonts w:hint="eastAsia"/>
          <w:sz w:val="32"/>
          <w:szCs w:val="32"/>
        </w:rPr>
        <w:t>2、</w:t>
      </w:r>
      <w:r>
        <w:rPr>
          <w:rFonts w:hint="eastAsia"/>
          <w:color w:val="FF0000"/>
          <w:sz w:val="32"/>
          <w:szCs w:val="32"/>
        </w:rPr>
        <w:t>指导老师</w:t>
      </w:r>
      <w:r>
        <w:rPr>
          <w:rFonts w:hint="eastAsia"/>
          <w:sz w:val="32"/>
          <w:szCs w:val="32"/>
        </w:rPr>
        <w:t>审核指导日志</w:t>
      </w:r>
      <w:bookmarkEnd w:id="24"/>
    </w:p>
    <w:p>
      <w:pPr>
        <w:spacing w:line="360" w:lineRule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第一步：指导老师点击“过程管理”-“指导日志”-“待审核指导日志列表”，找到学生数据后点击操作栏中的“审核”按钮。</w:t>
      </w:r>
    </w:p>
    <w:p>
      <w:pPr>
        <w:spacing w:line="360" w:lineRule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第二步：输入审核意见，选择审核状态点击提交即可。</w:t>
      </w:r>
    </w:p>
    <w:p>
      <w:pPr>
        <w:spacing w:line="360" w:lineRule="auto"/>
      </w:pPr>
      <w:r>
        <w:drawing>
          <wp:inline distT="0" distB="0" distL="0" distR="0">
            <wp:extent cx="5274310" cy="2533015"/>
            <wp:effectExtent l="0" t="0" r="2540" b="63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rPr>
          <w:rFonts w:ascii="微软雅黑" w:hAnsi="微软雅黑" w:eastAsia="微软雅黑"/>
        </w:rPr>
      </w:pPr>
    </w:p>
    <w:p>
      <w:pPr>
        <w:spacing w:line="360" w:lineRule="auto"/>
      </w:pPr>
    </w:p>
    <w:p>
      <w:pPr>
        <w:pStyle w:val="2"/>
        <w:snapToGrid w:val="0"/>
        <w:spacing w:before="0" w:after="0" w:line="360" w:lineRule="auto"/>
      </w:pPr>
      <w:bookmarkStart w:id="25" w:name="_Toc79998026"/>
      <w:r>
        <w:rPr>
          <w:rFonts w:hint="eastAsia"/>
          <w:lang w:val="en-US" w:eastAsia="zh-CN"/>
        </w:rPr>
        <w:t>五</w:t>
      </w:r>
      <w:r>
        <w:rPr>
          <w:rFonts w:hint="eastAsia"/>
        </w:rPr>
        <w:t>、课题信息修改流程</w:t>
      </w:r>
      <w:bookmarkEnd w:id="25"/>
    </w:p>
    <w:p>
      <w:pPr>
        <w:pStyle w:val="2"/>
        <w:snapToGrid w:val="0"/>
        <w:spacing w:before="0" w:after="0" w:line="360" w:lineRule="auto"/>
        <w:rPr>
          <w:sz w:val="32"/>
          <w:szCs w:val="32"/>
        </w:rPr>
      </w:pPr>
      <w:bookmarkStart w:id="26" w:name="_Toc79998027"/>
      <w:r>
        <w:rPr>
          <w:rFonts w:hint="eastAsia"/>
          <w:sz w:val="32"/>
          <w:szCs w:val="32"/>
        </w:rPr>
        <w:t>1、</w:t>
      </w:r>
      <w:r>
        <w:rPr>
          <w:rFonts w:hint="eastAsia"/>
          <w:color w:val="FF0000"/>
          <w:sz w:val="32"/>
          <w:szCs w:val="32"/>
        </w:rPr>
        <w:t>学生</w:t>
      </w:r>
      <w:r>
        <w:rPr>
          <w:rFonts w:hint="eastAsia"/>
          <w:sz w:val="32"/>
          <w:szCs w:val="32"/>
        </w:rPr>
        <w:t>提交课题信息修改申请</w:t>
      </w:r>
      <w:bookmarkEnd w:id="26"/>
    </w:p>
    <w:p>
      <w:pPr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第一步：学生点击“选题管理”—“课题信息变更”—“申请课题信息变更”列表中的“申请”按钮。</w:t>
      </w:r>
    </w:p>
    <w:p>
      <w:pPr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第二步：在弹出页面中，可查看原课题信息，然后在新课题信息模块填写新的课题信息，最后点击“提交”或者“暂存”即可。</w:t>
      </w:r>
    </w:p>
    <w:p>
      <w:pPr>
        <w:spacing w:line="360" w:lineRule="auto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2661920"/>
            <wp:effectExtent l="0" t="0" r="2540" b="508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napToGrid w:val="0"/>
        <w:spacing w:before="0" w:after="0" w:line="360" w:lineRule="auto"/>
        <w:rPr>
          <w:sz w:val="32"/>
          <w:szCs w:val="32"/>
        </w:rPr>
      </w:pPr>
      <w:bookmarkStart w:id="27" w:name="_Toc79998028"/>
      <w:r>
        <w:rPr>
          <w:sz w:val="32"/>
          <w:szCs w:val="32"/>
        </w:rPr>
        <w:t>2</w:t>
      </w:r>
      <w:r>
        <w:rPr>
          <w:rFonts w:hint="eastAsia"/>
          <w:sz w:val="32"/>
          <w:szCs w:val="32"/>
        </w:rPr>
        <w:t>、</w:t>
      </w:r>
      <w:r>
        <w:rPr>
          <w:rFonts w:hint="eastAsia"/>
          <w:color w:val="FF0000"/>
          <w:sz w:val="32"/>
          <w:szCs w:val="32"/>
        </w:rPr>
        <w:t>指导教师</w:t>
      </w:r>
      <w:r>
        <w:rPr>
          <w:rFonts w:hint="eastAsia"/>
          <w:sz w:val="32"/>
          <w:szCs w:val="32"/>
        </w:rPr>
        <w:t>审核课题信息修改申请</w:t>
      </w:r>
      <w:bookmarkEnd w:id="27"/>
    </w:p>
    <w:p>
      <w:pPr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第一步：指导教师点击“选题管理”—“课题信息变更”—“审核课题信息变更”列表中的“审核”按钮，或者选中多条数据，点击“批量审核”进行批量审核。</w:t>
      </w:r>
    </w:p>
    <w:p>
      <w:pPr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在弹出页面中，填写审核意见，选择审核状态为通过或者不通过，最后点击“提交”即可。选择“通过”将审核通过学生的本次申请，选择“不通过”，会退回到学生处进行重新提交申请。</w:t>
      </w:r>
    </w:p>
    <w:p>
      <w:pPr>
        <w:spacing w:line="360" w:lineRule="auto"/>
        <w:rPr>
          <w:rFonts w:ascii="微软雅黑" w:hAnsi="微软雅黑" w:eastAsia="微软雅黑"/>
        </w:rPr>
      </w:pPr>
      <w:r>
        <w:drawing>
          <wp:inline distT="0" distB="0" distL="0" distR="0">
            <wp:extent cx="5267325" cy="26574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微软雅黑" w:hAnsi="微软雅黑" w:eastAsia="微软雅黑"/>
        </w:rPr>
      </w:pPr>
    </w:p>
    <w:p>
      <w:pPr>
        <w:snapToGrid w:val="0"/>
        <w:spacing w:line="360" w:lineRule="auto"/>
      </w:pPr>
    </w:p>
    <w:p>
      <w:pPr>
        <w:snapToGrid w:val="0"/>
        <w:spacing w:line="360" w:lineRule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F9679D"/>
    <w:multiLevelType w:val="multilevel"/>
    <w:tmpl w:val="31F9679D"/>
    <w:lvl w:ilvl="0" w:tentative="0">
      <w:start w:val="1"/>
      <w:numFmt w:val="japaneseCounting"/>
      <w:lvlText w:val="%1、"/>
      <w:lvlJc w:val="left"/>
      <w:pPr>
        <w:ind w:left="1042" w:hanging="9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82" w:hanging="420"/>
      </w:pPr>
    </w:lvl>
    <w:lvl w:ilvl="2" w:tentative="0">
      <w:start w:val="1"/>
      <w:numFmt w:val="lowerRoman"/>
      <w:lvlText w:val="%3."/>
      <w:lvlJc w:val="right"/>
      <w:pPr>
        <w:ind w:left="1402" w:hanging="420"/>
      </w:pPr>
    </w:lvl>
    <w:lvl w:ilvl="3" w:tentative="0">
      <w:start w:val="1"/>
      <w:numFmt w:val="decimal"/>
      <w:lvlText w:val="%4."/>
      <w:lvlJc w:val="left"/>
      <w:pPr>
        <w:ind w:left="1822" w:hanging="420"/>
      </w:pPr>
    </w:lvl>
    <w:lvl w:ilvl="4" w:tentative="0">
      <w:start w:val="1"/>
      <w:numFmt w:val="lowerLetter"/>
      <w:lvlText w:val="%5)"/>
      <w:lvlJc w:val="left"/>
      <w:pPr>
        <w:ind w:left="2242" w:hanging="420"/>
      </w:pPr>
    </w:lvl>
    <w:lvl w:ilvl="5" w:tentative="0">
      <w:start w:val="1"/>
      <w:numFmt w:val="lowerRoman"/>
      <w:lvlText w:val="%6."/>
      <w:lvlJc w:val="right"/>
      <w:pPr>
        <w:ind w:left="2662" w:hanging="420"/>
      </w:pPr>
    </w:lvl>
    <w:lvl w:ilvl="6" w:tentative="0">
      <w:start w:val="1"/>
      <w:numFmt w:val="decimal"/>
      <w:lvlText w:val="%7."/>
      <w:lvlJc w:val="left"/>
      <w:pPr>
        <w:ind w:left="3082" w:hanging="420"/>
      </w:pPr>
    </w:lvl>
    <w:lvl w:ilvl="7" w:tentative="0">
      <w:start w:val="1"/>
      <w:numFmt w:val="lowerLetter"/>
      <w:lvlText w:val="%8)"/>
      <w:lvlJc w:val="left"/>
      <w:pPr>
        <w:ind w:left="3502" w:hanging="420"/>
      </w:pPr>
    </w:lvl>
    <w:lvl w:ilvl="8" w:tentative="0">
      <w:start w:val="1"/>
      <w:numFmt w:val="lowerRoman"/>
      <w:lvlText w:val="%9."/>
      <w:lvlJc w:val="right"/>
      <w:pPr>
        <w:ind w:left="392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C997090"/>
    <w:rsid w:val="00017D8F"/>
    <w:rsid w:val="00023575"/>
    <w:rsid w:val="00033DFE"/>
    <w:rsid w:val="00046660"/>
    <w:rsid w:val="00063881"/>
    <w:rsid w:val="0008146F"/>
    <w:rsid w:val="00082BA2"/>
    <w:rsid w:val="000909F1"/>
    <w:rsid w:val="000932E0"/>
    <w:rsid w:val="0010053F"/>
    <w:rsid w:val="001459C9"/>
    <w:rsid w:val="00156AEA"/>
    <w:rsid w:val="001C4349"/>
    <w:rsid w:val="001C4894"/>
    <w:rsid w:val="001E1419"/>
    <w:rsid w:val="001F2627"/>
    <w:rsid w:val="00203DD0"/>
    <w:rsid w:val="002472A1"/>
    <w:rsid w:val="00252CD9"/>
    <w:rsid w:val="002B7660"/>
    <w:rsid w:val="002F5777"/>
    <w:rsid w:val="00323E79"/>
    <w:rsid w:val="0034656F"/>
    <w:rsid w:val="00357267"/>
    <w:rsid w:val="003874AF"/>
    <w:rsid w:val="003B7FB2"/>
    <w:rsid w:val="003F3132"/>
    <w:rsid w:val="00411D77"/>
    <w:rsid w:val="00444C66"/>
    <w:rsid w:val="00470DEF"/>
    <w:rsid w:val="004733AC"/>
    <w:rsid w:val="004929FB"/>
    <w:rsid w:val="004A5630"/>
    <w:rsid w:val="004C4DA5"/>
    <w:rsid w:val="004C557E"/>
    <w:rsid w:val="004E7E4A"/>
    <w:rsid w:val="005A7C0B"/>
    <w:rsid w:val="005D603E"/>
    <w:rsid w:val="00645D7B"/>
    <w:rsid w:val="006F7B74"/>
    <w:rsid w:val="00704273"/>
    <w:rsid w:val="0076352A"/>
    <w:rsid w:val="007B399A"/>
    <w:rsid w:val="007E0288"/>
    <w:rsid w:val="007F5DF3"/>
    <w:rsid w:val="008266AB"/>
    <w:rsid w:val="00885D18"/>
    <w:rsid w:val="008A3F33"/>
    <w:rsid w:val="008F053F"/>
    <w:rsid w:val="008F547F"/>
    <w:rsid w:val="00967F57"/>
    <w:rsid w:val="009E1872"/>
    <w:rsid w:val="00AB3BEC"/>
    <w:rsid w:val="00AD6D83"/>
    <w:rsid w:val="00AF2321"/>
    <w:rsid w:val="00B0560B"/>
    <w:rsid w:val="00B65758"/>
    <w:rsid w:val="00BA02DD"/>
    <w:rsid w:val="00BC3F1E"/>
    <w:rsid w:val="00C019CF"/>
    <w:rsid w:val="00C163E2"/>
    <w:rsid w:val="00C4708A"/>
    <w:rsid w:val="00C5798C"/>
    <w:rsid w:val="00CA79CA"/>
    <w:rsid w:val="00CB41F4"/>
    <w:rsid w:val="00D21ED6"/>
    <w:rsid w:val="00D56B5E"/>
    <w:rsid w:val="00D824AD"/>
    <w:rsid w:val="00DA56E8"/>
    <w:rsid w:val="00E20CCE"/>
    <w:rsid w:val="00E27E29"/>
    <w:rsid w:val="00E62BBA"/>
    <w:rsid w:val="00E869CD"/>
    <w:rsid w:val="00F375F7"/>
    <w:rsid w:val="00FD3DCD"/>
    <w:rsid w:val="00FF0D94"/>
    <w:rsid w:val="00FF3E2C"/>
    <w:rsid w:val="013458F9"/>
    <w:rsid w:val="023D4DA3"/>
    <w:rsid w:val="06C34669"/>
    <w:rsid w:val="07E17662"/>
    <w:rsid w:val="086932D6"/>
    <w:rsid w:val="0C0B753F"/>
    <w:rsid w:val="0C6E6360"/>
    <w:rsid w:val="0E957362"/>
    <w:rsid w:val="10172D55"/>
    <w:rsid w:val="12C65C82"/>
    <w:rsid w:val="13D607C6"/>
    <w:rsid w:val="16845587"/>
    <w:rsid w:val="1B1644CC"/>
    <w:rsid w:val="1E8E0A92"/>
    <w:rsid w:val="21303901"/>
    <w:rsid w:val="23F02769"/>
    <w:rsid w:val="24051800"/>
    <w:rsid w:val="26EB585A"/>
    <w:rsid w:val="2AD60D53"/>
    <w:rsid w:val="2C997090"/>
    <w:rsid w:val="3A084EA4"/>
    <w:rsid w:val="3BC942B4"/>
    <w:rsid w:val="3C401962"/>
    <w:rsid w:val="43477DD0"/>
    <w:rsid w:val="43BD0B90"/>
    <w:rsid w:val="4795376D"/>
    <w:rsid w:val="4BB14319"/>
    <w:rsid w:val="58C16CA3"/>
    <w:rsid w:val="5E312848"/>
    <w:rsid w:val="62756ADA"/>
    <w:rsid w:val="644D7C34"/>
    <w:rsid w:val="695B07E5"/>
    <w:rsid w:val="6ACC6187"/>
    <w:rsid w:val="70800FB4"/>
    <w:rsid w:val="77891247"/>
    <w:rsid w:val="78480AE1"/>
    <w:rsid w:val="78AA6F28"/>
    <w:rsid w:val="790B7254"/>
    <w:rsid w:val="7CB129C7"/>
    <w:rsid w:val="7D4F4CF0"/>
    <w:rsid w:val="7F874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uiPriority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20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9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39"/>
    <w:pPr>
      <w:ind w:left="840" w:leftChars="400"/>
    </w:pPr>
  </w:style>
  <w:style w:type="paragraph" w:styleId="6">
    <w:name w:val="Balloon Text"/>
    <w:basedOn w:val="1"/>
    <w:link w:val="18"/>
    <w:qFormat/>
    <w:uiPriority w:val="0"/>
    <w:rPr>
      <w:sz w:val="18"/>
      <w:szCs w:val="18"/>
    </w:rPr>
  </w:style>
  <w:style w:type="paragraph" w:styleId="7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标题 1 字符"/>
    <w:link w:val="2"/>
    <w:qFormat/>
    <w:uiPriority w:val="0"/>
    <w:rPr>
      <w:b/>
      <w:kern w:val="44"/>
      <w:sz w:val="44"/>
    </w:rPr>
  </w:style>
  <w:style w:type="paragraph" w:customStyle="1" w:styleId="1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5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  <w:style w:type="character" w:customStyle="1" w:styleId="16">
    <w:name w:val="页眉 字符"/>
    <w:basedOn w:val="11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字符"/>
    <w:basedOn w:val="11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批注框文本 字符"/>
    <w:basedOn w:val="11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9">
    <w:name w:val="标题 3 字符"/>
    <w:basedOn w:val="11"/>
    <w:link w:val="4"/>
    <w:semiHidden/>
    <w:qFormat/>
    <w:uiPriority w:val="0"/>
    <w:rPr>
      <w:rFonts w:asciiTheme="minorHAnsi" w:hAnsiTheme="minorHAnsi" w:eastAsiaTheme="minorEastAsia" w:cstheme="minorBidi"/>
      <w:b/>
      <w:bCs/>
      <w:kern w:val="2"/>
      <w:sz w:val="32"/>
      <w:szCs w:val="32"/>
    </w:rPr>
  </w:style>
  <w:style w:type="character" w:customStyle="1" w:styleId="20">
    <w:name w:val="标题 2 字符"/>
    <w:basedOn w:val="11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styleId="2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9" Type="http://schemas.openxmlformats.org/officeDocument/2006/relationships/fontTable" Target="fontTable.xml"/><Relationship Id="rId38" Type="http://schemas.openxmlformats.org/officeDocument/2006/relationships/customXml" Target="../customXml/item2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10BC879-8AEC-414D-B5B5-F3396BB8ECC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20</Pages>
  <Words>772</Words>
  <Characters>4402</Characters>
  <Lines>36</Lines>
  <Paragraphs>10</Paragraphs>
  <TotalTime>115</TotalTime>
  <ScaleCrop>false</ScaleCrop>
  <LinksUpToDate>false</LinksUpToDate>
  <CharactersWithSpaces>5164</CharactersWithSpaces>
  <Application>WPS Office_11.1.0.10650_F1E327BC-269C-435d-A152-05C5408002CA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2021-07-19T01:13:00Z</dcterms:created>
  <dc:creator>L sir</dc:creator>
  <cp:lastModifiedBy>huimgd</cp:lastModifiedBy>
  <dcterms:modified xsi:type="dcterms:W3CDTF">2021-08-31T03:27:22Z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2052-11.1.0.10650</vt:lpwstr>
  </property>
  <property fmtid="{D5CDD505-2E9C-101B-9397-08002B2CF9AE}" pid="3" name="ICV">
    <vt:lpwstr>97F816CA5BFB462DA3A515F0CD46C4D2</vt:lpwstr>
  </property>
</Properties>
</file>