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</w:t>
      </w:r>
    </w:p>
    <w:p>
      <w:pPr>
        <w:spacing w:line="64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浙江师范大学行知学院二级教学单位</w:t>
      </w:r>
    </w:p>
    <w:p>
      <w:pPr>
        <w:spacing w:line="640" w:lineRule="exact"/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2020年度部分代表性工作业绩汇总表</w:t>
      </w:r>
    </w:p>
    <w:p>
      <w:pPr>
        <w:spacing w:line="240" w:lineRule="auto"/>
        <w:rPr>
          <w:rFonts w:eastAsia="宋体" w:cs="Arial"/>
          <w:spacing w:val="0"/>
          <w:sz w:val="21"/>
          <w:szCs w:val="22"/>
        </w:rPr>
      </w:pPr>
    </w:p>
    <w:tbl>
      <w:tblPr>
        <w:tblStyle w:val="4"/>
        <w:tblW w:w="9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433"/>
        <w:gridCol w:w="1791"/>
        <w:gridCol w:w="1850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b/>
                <w:bCs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b/>
                <w:bCs/>
                <w:spacing w:val="0"/>
                <w:sz w:val="21"/>
                <w:szCs w:val="22"/>
              </w:rPr>
              <w:t>序号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b/>
                <w:bCs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b/>
                <w:bCs/>
                <w:spacing w:val="0"/>
                <w:sz w:val="21"/>
                <w:szCs w:val="22"/>
              </w:rPr>
              <w:t>观测指标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b/>
                <w:bCs/>
                <w:spacing w:val="0"/>
                <w:sz w:val="21"/>
                <w:szCs w:val="22"/>
              </w:rPr>
            </w:pPr>
            <w:r>
              <w:rPr>
                <w:rFonts w:eastAsia="宋体" w:cs="Arial"/>
                <w:b/>
                <w:bCs/>
                <w:spacing w:val="0"/>
                <w:sz w:val="21"/>
                <w:szCs w:val="22"/>
              </w:rPr>
              <w:t>2019</w:t>
            </w:r>
            <w:r>
              <w:rPr>
                <w:rFonts w:hint="eastAsia" w:eastAsia="宋体" w:cs="Arial"/>
                <w:b/>
                <w:bCs/>
                <w:spacing w:val="0"/>
                <w:sz w:val="21"/>
                <w:szCs w:val="22"/>
              </w:rPr>
              <w:t>年完成情况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b/>
                <w:bCs/>
                <w:spacing w:val="0"/>
                <w:sz w:val="21"/>
                <w:szCs w:val="22"/>
              </w:rPr>
            </w:pPr>
            <w:r>
              <w:rPr>
                <w:rFonts w:eastAsia="宋体" w:cs="Arial"/>
                <w:b/>
                <w:bCs/>
                <w:spacing w:val="0"/>
                <w:sz w:val="21"/>
                <w:szCs w:val="22"/>
              </w:rPr>
              <w:t>2020</w:t>
            </w:r>
            <w:r>
              <w:rPr>
                <w:rFonts w:hint="eastAsia" w:eastAsia="宋体" w:cs="Arial"/>
                <w:b/>
                <w:bCs/>
                <w:spacing w:val="0"/>
                <w:sz w:val="21"/>
                <w:szCs w:val="22"/>
              </w:rPr>
              <w:t>年完成情况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b/>
                <w:bCs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b/>
                <w:bCs/>
                <w:spacing w:val="0"/>
                <w:sz w:val="21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1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教职工人均教学工作量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517.05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576.6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2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教职工人均省级及以上教学成果奖、教学质量奖、教学建设项目奖分值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9.13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4.8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3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教职工人均科研分值和社会服务分值（2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019</w:t>
            </w:r>
            <w:r>
              <w:rPr>
                <w:rFonts w:hint="eastAsia" w:eastAsia="宋体" w:cs="Arial"/>
                <w:spacing w:val="0"/>
                <w:sz w:val="21"/>
                <w:szCs w:val="22"/>
              </w:rPr>
              <w:t>年度）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-6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149.61 / 10.25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 xml:space="preserve">162.95 / 7.36 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2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018</w:t>
            </w:r>
            <w:r>
              <w:rPr>
                <w:rFonts w:hint="eastAsia" w:eastAsia="宋体" w:cs="Arial"/>
                <w:spacing w:val="0"/>
                <w:sz w:val="21"/>
                <w:szCs w:val="22"/>
              </w:rPr>
              <w:t>、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2019</w:t>
            </w:r>
            <w:r>
              <w:rPr>
                <w:rFonts w:hint="eastAsia" w:eastAsia="宋体" w:cs="Arial"/>
                <w:spacing w:val="0"/>
                <w:sz w:val="21"/>
                <w:szCs w:val="22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4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科研业绩（二级及以上论文篇数、省部级及以上纵向项目立项数、横向项目总金额、发明专利授权数等）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见附件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见附件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5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学科竞赛业绩（一类竞赛省级及以上奖项数、二类竞赛国家级奖项数）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国家三等奖4项，省级一等奖1项，二等奖2项三等奖11项。</w:t>
            </w:r>
            <w:bookmarkStart w:id="0" w:name="_GoBack"/>
            <w:bookmarkEnd w:id="0"/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国家一等奖1项二等奖1项；国家银奖1项；省级特等奖1项一等奖1项二等奖2项三等奖5项；铜奖2项，省级第三名1名，第五名2名。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6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“双师双能型”教师比例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60%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56%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7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人才项目入选情况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无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40" w:lineRule="atLeast"/>
              <w:ind w:left="0" w:right="0" w:firstLine="0"/>
              <w:jc w:val="center"/>
              <w:rPr>
                <w:rFonts w:hint="default" w:ascii="Times New Roman" w:hAnsi="Times New Roman" w:eastAsia="宋体" w:cs="Arial"/>
                <w:b w:val="0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Arial"/>
                <w:b w:val="0"/>
                <w:spacing w:val="0"/>
                <w:kern w:val="2"/>
                <w:sz w:val="21"/>
                <w:szCs w:val="22"/>
                <w:lang w:val="en-US" w:eastAsia="zh-CN" w:bidi="ar-SA"/>
              </w:rPr>
              <w:t>浙江省高校领军人才</w:t>
            </w:r>
          </w:p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40" w:lineRule="atLeast"/>
              <w:ind w:left="0" w:right="0" w:firstLine="0"/>
              <w:jc w:val="center"/>
              <w:rPr>
                <w:rFonts w:hint="default" w:ascii="Times New Roman" w:hAnsi="Times New Roman" w:eastAsia="宋体" w:cs="Arial"/>
                <w:b w:val="0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Arial"/>
                <w:b w:val="0"/>
                <w:spacing w:val="0"/>
                <w:kern w:val="2"/>
                <w:sz w:val="21"/>
                <w:szCs w:val="22"/>
                <w:lang w:val="en-US" w:eastAsia="zh-CN" w:bidi="ar-SA"/>
              </w:rPr>
              <w:t>袁建锋</w:t>
            </w:r>
            <w:r>
              <w:rPr>
                <w:rFonts w:hint="eastAsia" w:ascii="Times New Roman" w:hAnsi="Times New Roman" w:cs="Arial"/>
                <w:b w:val="0"/>
                <w:spacing w:val="0"/>
                <w:kern w:val="2"/>
                <w:sz w:val="21"/>
                <w:szCs w:val="22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Arial"/>
                <w:b w:val="0"/>
                <w:spacing w:val="0"/>
                <w:kern w:val="2"/>
                <w:sz w:val="21"/>
                <w:szCs w:val="22"/>
                <w:lang w:val="en-US" w:eastAsia="zh-CN" w:bidi="ar-SA"/>
              </w:rPr>
              <w:t>胡鸿雨</w:t>
            </w:r>
            <w:r>
              <w:rPr>
                <w:rFonts w:hint="eastAsia" w:ascii="Times New Roman" w:hAnsi="Times New Roman" w:cs="Arial"/>
                <w:b w:val="0"/>
                <w:spacing w:val="0"/>
                <w:kern w:val="2"/>
                <w:sz w:val="21"/>
                <w:szCs w:val="22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Arial"/>
                <w:b w:val="0"/>
                <w:spacing w:val="0"/>
                <w:kern w:val="2"/>
                <w:sz w:val="21"/>
                <w:szCs w:val="22"/>
                <w:lang w:val="en-US" w:eastAsia="zh-CN" w:bidi="ar-SA"/>
              </w:rPr>
              <w:t>陈寒松</w:t>
            </w:r>
          </w:p>
          <w:p>
            <w:pPr>
              <w:spacing w:line="240" w:lineRule="auto"/>
              <w:ind w:left="0" w:leftChars="0" w:firstLine="619" w:firstLineChars="295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8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人事需求计划完成率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100%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100%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9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专任教师博士学位占比（含在读）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50%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55.56%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1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0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学生深造率和毕业生就业率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28.2%</w:t>
            </w: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 xml:space="preserve"> / 95.5% 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29.29%</w:t>
            </w: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 xml:space="preserve"> / </w:t>
            </w:r>
            <w:r>
              <w:rPr>
                <w:rFonts w:hint="eastAsia" w:eastAsia="宋体" w:cs="Arial"/>
                <w:spacing w:val="0"/>
                <w:sz w:val="21"/>
                <w:szCs w:val="22"/>
              </w:rPr>
              <w:t>94.29%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1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1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毕业生对母校满意度（毕业一年后、毕业三年后）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/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92.13% / 89.84%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1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2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教学经费使用完成率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100%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85.07%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1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3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继续教育服务项目创收金额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10万元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0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1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4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社会捐赠金额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0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13万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1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5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校地合作推进情况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见附件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见附件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1</w:t>
            </w:r>
            <w:r>
              <w:rPr>
                <w:rFonts w:eastAsia="宋体" w:cs="Arial"/>
                <w:spacing w:val="0"/>
                <w:sz w:val="21"/>
                <w:szCs w:val="22"/>
              </w:rPr>
              <w:t>6</w:t>
            </w:r>
          </w:p>
        </w:tc>
        <w:tc>
          <w:tcPr>
            <w:tcW w:w="3433" w:type="dxa"/>
            <w:noWrap w:val="0"/>
            <w:vAlign w:val="center"/>
          </w:tcPr>
          <w:p>
            <w:pPr>
              <w:spacing w:line="240" w:lineRule="auto"/>
              <w:rPr>
                <w:rFonts w:eastAsia="宋体" w:cs="Arial"/>
                <w:spacing w:val="0"/>
                <w:sz w:val="21"/>
                <w:szCs w:val="22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</w:rPr>
              <w:t>突破性业绩（如高层次人才引进、重点项目突破等）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教工党支部获：浙江省样板支部、国家党建工作样板支部；省一流本科专业建设点：应用化学；院级一流本科培育专业3个。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eastAsia="宋体" w:cs="Arial"/>
                <w:spacing w:val="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pacing w:val="0"/>
                <w:sz w:val="21"/>
                <w:szCs w:val="22"/>
                <w:lang w:val="en-US" w:eastAsia="zh-CN"/>
              </w:rPr>
              <w:t>中国商业联合会科学技术奖一等奖两项；第十二届“挑战杯”中国大学生创业计划竞赛全国决赛银奖；重大横向项目一项（合同金额90万）；在建专业硕士学位培育点一个：材料与化工。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宋体" w:cs="Arial"/>
                <w:spacing w:val="0"/>
                <w:sz w:val="21"/>
                <w:szCs w:val="22"/>
              </w:rPr>
            </w:pPr>
          </w:p>
        </w:tc>
      </w:tr>
    </w:tbl>
    <w:p>
      <w:pPr>
        <w:spacing w:line="240" w:lineRule="auto"/>
        <w:rPr>
          <w:rFonts w:eastAsia="宋体" w:cs="Arial"/>
          <w:b/>
          <w:bCs/>
          <w:spacing w:val="0"/>
          <w:sz w:val="21"/>
          <w:szCs w:val="22"/>
        </w:rPr>
      </w:pPr>
      <w:r>
        <w:rPr>
          <w:rFonts w:hint="eastAsia" w:eastAsia="宋体" w:cs="Arial"/>
          <w:b/>
          <w:bCs/>
          <w:spacing w:val="0"/>
          <w:sz w:val="21"/>
          <w:szCs w:val="22"/>
        </w:rPr>
        <w:t>备注：未涉及上述所列观测指标的单位可不填该项内容。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附：</w:t>
      </w:r>
    </w:p>
    <w:p>
      <w:pPr>
        <w:ind w:firstLine="536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sz w:val="28"/>
          <w:szCs w:val="28"/>
        </w:rPr>
        <w:t>教职工人均省级及以上教学成果奖、教学质量奖、教学建设项目奖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1、2019年</w:t>
      </w:r>
      <w:r>
        <w:rPr>
          <w:rFonts w:hint="eastAsia" w:ascii="仿宋" w:hAnsi="仿宋" w:eastAsia="仿宋" w:cs="仿宋"/>
          <w:sz w:val="28"/>
          <w:szCs w:val="28"/>
        </w:rPr>
        <w:t>省“十三五”省级虚拟仿真实验教学项目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，省“十三五”第二批教学改革研究项目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1项；2、2020年省级虚拟仿真实验教学项目2项。</w:t>
      </w:r>
    </w:p>
    <w:p>
      <w:pPr>
        <w:ind w:firstLine="536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科研业绩（二级及以上论文篇数、省部级及以上纵向项目立项数、横向项目总金额、发明专利授权数等）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1、2019年二级及以上论文</w:t>
      </w:r>
      <w:r>
        <w:rPr>
          <w:rFonts w:hint="eastAsia" w:ascii="仿宋" w:hAnsi="仿宋" w:eastAsia="仿宋" w:cs="仿宋"/>
          <w:sz w:val="28"/>
          <w:szCs w:val="28"/>
        </w:rPr>
        <w:t>16篇：其中顶级1篇，权威2篇，一级9篇，二级4篇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厅级以上纵向项目9项，总金额达416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.43</w:t>
      </w:r>
      <w:r>
        <w:rPr>
          <w:rFonts w:hint="eastAsia" w:ascii="仿宋" w:hAnsi="仿宋" w:eastAsia="仿宋" w:cs="仿宋"/>
          <w:sz w:val="28"/>
          <w:szCs w:val="28"/>
        </w:rPr>
        <w:t>万元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横向项目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16项，总金额达359.98万元；</w:t>
      </w:r>
      <w:r>
        <w:rPr>
          <w:rFonts w:hint="eastAsia" w:ascii="仿宋" w:hAnsi="仿宋" w:eastAsia="仿宋" w:cs="仿宋"/>
          <w:sz w:val="28"/>
          <w:szCs w:val="28"/>
        </w:rPr>
        <w:t>专利成果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项。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2、2020年二级及以上论文</w:t>
      </w: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篇：其中顶级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篇，权威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篇，一级9篇，二级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横向项目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6项，总金额达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元；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专利成果8项。</w:t>
      </w:r>
    </w:p>
    <w:p>
      <w:pPr>
        <w:ind w:firstLine="536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三、校地合作推进情况：1、2019年校地合作推进情况：新增校外实践基地3个；</w:t>
      </w:r>
      <w:r>
        <w:rPr>
          <w:rFonts w:hint="eastAsia" w:ascii="仿宋" w:hAnsi="仿宋" w:eastAsia="仿宋" w:cs="仿宋"/>
          <w:sz w:val="28"/>
          <w:szCs w:val="28"/>
        </w:rPr>
        <w:t>举办“核心素养下高中化学教师实验教学能力提升培训班”和“兰溪市农家乐（民宿）综合提升培训班”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与华益生物科技有限公司的合作为行知学院争取了1000万元助学基金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横向项目共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sz w:val="28"/>
          <w:szCs w:val="28"/>
        </w:rPr>
        <w:t>项，总金额达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359</w:t>
      </w:r>
      <w:r>
        <w:rPr>
          <w:rFonts w:hint="eastAsia" w:ascii="仿宋" w:hAnsi="仿宋" w:eastAsia="仿宋" w:cs="仿宋"/>
          <w:sz w:val="28"/>
          <w:szCs w:val="28"/>
        </w:rPr>
        <w:t>.98万元。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2020年校地合作推进情况：在全国率先发布《新型冠状病毒疫情下野生动物养殖业及从业人员安全防护指导办法》和《全面禁止野生动物非法贸易、拒食野生动物的倡议》；与金华味海食品股份有限公司联合申报“金华市专家工作站”；与8家企事业单位签订战略合作协议；理学院签署横向课题6项，年度到款经费136万元；收到创新券申报5项，共计110万元；获批国家级项目预研项目10项，申报国家自然科学基金项目9项，申报浙江省基础公益研究计划项目8项，申报浙江省重点研发计划项目1项；获批浙江省教育厅一般科研项目2项，金华市科技计划重点项目2项，一般项目2项，省部级重点实验室开放课题2项。</w:t>
      </w:r>
    </w:p>
    <w:sectPr>
      <w:pgSz w:w="11906" w:h="16838"/>
      <w:pgMar w:top="1440" w:right="1800" w:bottom="1440" w:left="1800" w:header="851" w:footer="130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E30A1"/>
    <w:rsid w:val="00FC6EF2"/>
    <w:rsid w:val="02ED0708"/>
    <w:rsid w:val="02F2334D"/>
    <w:rsid w:val="0DF86909"/>
    <w:rsid w:val="1084098D"/>
    <w:rsid w:val="11AC494D"/>
    <w:rsid w:val="142056DB"/>
    <w:rsid w:val="15125C03"/>
    <w:rsid w:val="1C817A49"/>
    <w:rsid w:val="1F64164A"/>
    <w:rsid w:val="208130E6"/>
    <w:rsid w:val="20CE1B7B"/>
    <w:rsid w:val="21A17F8A"/>
    <w:rsid w:val="230E1567"/>
    <w:rsid w:val="26F946BF"/>
    <w:rsid w:val="2EE20823"/>
    <w:rsid w:val="2F5C5A5D"/>
    <w:rsid w:val="2FBD2B0F"/>
    <w:rsid w:val="30287D8F"/>
    <w:rsid w:val="3158511F"/>
    <w:rsid w:val="32D22249"/>
    <w:rsid w:val="35194300"/>
    <w:rsid w:val="35677B57"/>
    <w:rsid w:val="359A01CD"/>
    <w:rsid w:val="359D5742"/>
    <w:rsid w:val="36D52699"/>
    <w:rsid w:val="3B0F0557"/>
    <w:rsid w:val="412967BB"/>
    <w:rsid w:val="416A253F"/>
    <w:rsid w:val="42325CA7"/>
    <w:rsid w:val="423D5B3C"/>
    <w:rsid w:val="43F8606A"/>
    <w:rsid w:val="45C42A15"/>
    <w:rsid w:val="46CC03FF"/>
    <w:rsid w:val="46DE30A1"/>
    <w:rsid w:val="51FE2BF3"/>
    <w:rsid w:val="525F5644"/>
    <w:rsid w:val="52C20110"/>
    <w:rsid w:val="5839368B"/>
    <w:rsid w:val="5C18338D"/>
    <w:rsid w:val="5EFB072F"/>
    <w:rsid w:val="62F9379A"/>
    <w:rsid w:val="63DC2F52"/>
    <w:rsid w:val="63FF5AA7"/>
    <w:rsid w:val="66A94593"/>
    <w:rsid w:val="68022117"/>
    <w:rsid w:val="69EE6216"/>
    <w:rsid w:val="6D7C5530"/>
    <w:rsid w:val="7011163D"/>
    <w:rsid w:val="74BB68DE"/>
    <w:rsid w:val="789915C7"/>
    <w:rsid w:val="7B7E5D53"/>
    <w:rsid w:val="7BD571FF"/>
    <w:rsid w:val="7EDE6687"/>
    <w:rsid w:val="7F52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character" w:styleId="6">
    <w:name w:val="page number"/>
    <w:basedOn w:val="5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2020-12-29T01:10:00Z</dcterms:created>
  <dc:creator>影子</dc:creator>
  <cp:lastModifiedBy>影子</cp:lastModifiedBy>
  <dcterms:modified xsi:type="dcterms:W3CDTF">2021-01-04T02:38:42Z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