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兰溪校区</w:t>
      </w:r>
      <w:r>
        <w:rPr>
          <w:rFonts w:hint="eastAsia"/>
          <w:b/>
          <w:bCs/>
          <w:sz w:val="28"/>
          <w:szCs w:val="28"/>
        </w:rPr>
        <w:t>值班</w:t>
      </w:r>
      <w:r>
        <w:rPr>
          <w:rFonts w:hint="eastAsia"/>
          <w:b/>
          <w:bCs/>
          <w:sz w:val="28"/>
          <w:szCs w:val="28"/>
          <w:lang w:eastAsia="zh-CN"/>
        </w:rPr>
        <w:t>安排注意事项说明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本次值班时间段：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3月4日—6月30日。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值班时间安排：工作日（下午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18:00—次日上午8:10）；非工作日（上午8:10—次日上午8:10）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每天值班人员组成：值班负责人（学院、部门、分院相关领导）1名，思政辅导员值班人员1名，其他教师值班人员1名，后勤值班人员1名，共4名。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值班当日由思政辅导员值班人员提前一天通知各值班老师并</w:t>
      </w:r>
      <w:r>
        <w:rPr>
          <w:rFonts w:hint="eastAsia" w:ascii="宋体" w:hAnsi="宋体" w:eastAsia="宋体" w:cs="宋体"/>
          <w:sz w:val="24"/>
          <w:szCs w:val="24"/>
        </w:rPr>
        <w:t>负责值班签到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</w:t>
      </w:r>
      <w:r>
        <w:rPr>
          <w:rFonts w:hint="eastAsia" w:ascii="宋体" w:hAnsi="宋体" w:eastAsia="宋体" w:cs="宋体"/>
          <w:sz w:val="24"/>
          <w:szCs w:val="24"/>
        </w:rPr>
        <w:t>做好会议记录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 工作日值班的各位老师，每天</w:t>
      </w:r>
      <w:r>
        <w:rPr>
          <w:rFonts w:hint="eastAsia" w:ascii="宋体" w:hAnsi="宋体" w:eastAsia="宋体" w:cs="宋体"/>
          <w:sz w:val="24"/>
          <w:szCs w:val="24"/>
        </w:rPr>
        <w:t>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18:0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308会议室</w:t>
      </w:r>
      <w:r>
        <w:rPr>
          <w:rFonts w:hint="eastAsia" w:ascii="宋体" w:hAnsi="宋体" w:eastAsia="宋体" w:cs="宋体"/>
          <w:sz w:val="24"/>
          <w:szCs w:val="24"/>
        </w:rPr>
        <w:t>集合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，非工作日值班的各位老师，早上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8:10先在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308会议室</w:t>
      </w:r>
      <w:r>
        <w:rPr>
          <w:rFonts w:hint="eastAsia" w:ascii="宋体" w:hAnsi="宋体" w:eastAsia="宋体" w:cs="宋体"/>
          <w:sz w:val="24"/>
          <w:szCs w:val="24"/>
        </w:rPr>
        <w:t>集合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，值班负责人</w:t>
      </w:r>
      <w:r>
        <w:rPr>
          <w:rFonts w:hint="eastAsia" w:ascii="宋体" w:hAnsi="宋体" w:eastAsia="宋体" w:cs="宋体"/>
          <w:sz w:val="24"/>
          <w:szCs w:val="24"/>
        </w:rPr>
        <w:t>布置巡查范围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、线路</w:t>
      </w:r>
      <w:r>
        <w:rPr>
          <w:rFonts w:hint="eastAsia" w:ascii="宋体" w:hAnsi="宋体" w:eastAsia="宋体" w:cs="宋体"/>
          <w:sz w:val="24"/>
          <w:szCs w:val="24"/>
        </w:rPr>
        <w:t>及注意事项。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sz w:val="24"/>
          <w:szCs w:val="24"/>
        </w:rPr>
        <w:t>晚上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21:00</w:t>
      </w:r>
      <w:r>
        <w:rPr>
          <w:rFonts w:hint="eastAsia" w:ascii="宋体" w:hAnsi="宋体" w:eastAsia="宋体" w:cs="宋体"/>
          <w:sz w:val="24"/>
          <w:szCs w:val="24"/>
        </w:rPr>
        <w:t>各值班老师在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308会议室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再集合</w:t>
      </w:r>
      <w:r>
        <w:rPr>
          <w:rFonts w:hint="eastAsia" w:ascii="宋体" w:hAnsi="宋体" w:eastAsia="宋体" w:cs="宋体"/>
          <w:sz w:val="24"/>
          <w:szCs w:val="24"/>
        </w:rPr>
        <w:t>，汇总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商讨解决巡查发现的相关问题并签名，思政辅导员值班人员负责汇总问题的反馈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sz w:val="24"/>
          <w:szCs w:val="24"/>
        </w:rPr>
        <w:t>各值班老师值班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入住员工宿舍，住前于员工宿舍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2楼管理员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处领取值班室钥匙。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 次日早上退房时，所有值班老师将钥匙移交管理员处。思政值班人员负责将材料袋移交给次日值班的思政值班人员。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9.值班班车安排：下午17:10从丽泽东门发车经停16幢精业楼前（17:20）至兰溪校区；次日早上需提前回师大校区上课的老师请与朱师傅提前联系（联系电话：653981）。其他值班人员参照两校区班车时刻表自行安排。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联系人：王珂丽（18368662616/672616）。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附一：</w:t>
      </w:r>
      <w:r>
        <w:rPr>
          <w:rFonts w:hint="eastAsia"/>
          <w:sz w:val="24"/>
          <w:szCs w:val="24"/>
          <w:lang w:val="en-US" w:eastAsia="zh-CN"/>
        </w:rPr>
        <w:t>两校区班车时刻表（工作日）</w:t>
      </w:r>
    </w:p>
    <w:tbl>
      <w:tblPr>
        <w:tblStyle w:val="4"/>
        <w:tblpPr w:leftFromText="180" w:rightFromText="180" w:vertAnchor="text" w:horzAnchor="page" w:tblpX="1467" w:tblpY="601"/>
        <w:tblOverlap w:val="never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331"/>
        <w:gridCol w:w="2112"/>
        <w:gridCol w:w="213"/>
        <w:gridCol w:w="1787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6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师大校区至兰溪校区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shd w:val="clear" w:color="auto" w:fill="A5A5A5" w:themeFill="accent3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331" w:type="dxa"/>
            <w:shd w:val="clear" w:color="auto" w:fill="A5A5A5" w:themeFill="accent3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车辆</w:t>
            </w:r>
          </w:p>
        </w:tc>
        <w:tc>
          <w:tcPr>
            <w:tcW w:w="2112" w:type="dxa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始发</w:t>
            </w:r>
          </w:p>
        </w:tc>
        <w:tc>
          <w:tcPr>
            <w:tcW w:w="2000" w:type="dxa"/>
            <w:gridSpan w:val="2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到达</w:t>
            </w:r>
          </w:p>
        </w:tc>
        <w:tc>
          <w:tcPr>
            <w:tcW w:w="2163" w:type="dxa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7:30</w:t>
            </w:r>
          </w:p>
        </w:tc>
        <w:tc>
          <w:tcPr>
            <w:tcW w:w="2331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2辆大巴（上高速）</w:t>
            </w:r>
          </w:p>
        </w:tc>
        <w:tc>
          <w:tcPr>
            <w:tcW w:w="211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丽泽东门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兰溪校区行政楼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12:30</w:t>
            </w:r>
          </w:p>
        </w:tc>
        <w:tc>
          <w:tcPr>
            <w:tcW w:w="2331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1辆大巴（上高速）</w:t>
            </w:r>
          </w:p>
        </w:tc>
        <w:tc>
          <w:tcPr>
            <w:tcW w:w="211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16幢精业楼</w:t>
            </w:r>
          </w:p>
        </w:tc>
        <w:tc>
          <w:tcPr>
            <w:tcW w:w="2000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兰溪校区教学楼</w:t>
            </w:r>
          </w:p>
        </w:tc>
        <w:tc>
          <w:tcPr>
            <w:tcW w:w="216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丽泽东（12:40）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2331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1辆大巴（上高速）</w:t>
            </w:r>
          </w:p>
        </w:tc>
        <w:tc>
          <w:tcPr>
            <w:tcW w:w="211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丽泽东门</w:t>
            </w:r>
          </w:p>
        </w:tc>
        <w:tc>
          <w:tcPr>
            <w:tcW w:w="2000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兰溪校区教学楼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17:10</w:t>
            </w:r>
          </w:p>
        </w:tc>
        <w:tc>
          <w:tcPr>
            <w:tcW w:w="2331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1辆大巴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（上高速）</w:t>
            </w:r>
          </w:p>
        </w:tc>
        <w:tc>
          <w:tcPr>
            <w:tcW w:w="211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丽泽东门</w:t>
            </w:r>
          </w:p>
        </w:tc>
        <w:tc>
          <w:tcPr>
            <w:tcW w:w="2000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兰溪校区教学楼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16幢前（17:20）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6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兰溪校区至师大校区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57" w:type="dxa"/>
            <w:shd w:val="clear" w:color="auto" w:fill="A5A5A5" w:themeFill="accent3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331" w:type="dxa"/>
            <w:shd w:val="clear" w:color="auto" w:fill="A5A5A5" w:themeFill="accent3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车辆</w:t>
            </w:r>
          </w:p>
        </w:tc>
        <w:tc>
          <w:tcPr>
            <w:tcW w:w="2325" w:type="dxa"/>
            <w:gridSpan w:val="2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始发</w:t>
            </w:r>
          </w:p>
        </w:tc>
        <w:tc>
          <w:tcPr>
            <w:tcW w:w="1787" w:type="dxa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到达</w:t>
            </w:r>
          </w:p>
        </w:tc>
        <w:tc>
          <w:tcPr>
            <w:tcW w:w="2163" w:type="dxa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8:10</w:t>
            </w:r>
          </w:p>
        </w:tc>
        <w:tc>
          <w:tcPr>
            <w:tcW w:w="2331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1辆大巴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（上高速）</w:t>
            </w:r>
          </w:p>
        </w:tc>
        <w:tc>
          <w:tcPr>
            <w:tcW w:w="2325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兰溪校区行政楼</w:t>
            </w:r>
          </w:p>
        </w:tc>
        <w:tc>
          <w:tcPr>
            <w:tcW w:w="178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师大校区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12:40</w:t>
            </w:r>
          </w:p>
        </w:tc>
        <w:tc>
          <w:tcPr>
            <w:tcW w:w="2331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1辆大巴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（上高速）</w:t>
            </w:r>
          </w:p>
        </w:tc>
        <w:tc>
          <w:tcPr>
            <w:tcW w:w="2325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兰溪校区教学楼</w:t>
            </w:r>
          </w:p>
        </w:tc>
        <w:tc>
          <w:tcPr>
            <w:tcW w:w="178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师大校区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16:30</w:t>
            </w:r>
          </w:p>
        </w:tc>
        <w:tc>
          <w:tcPr>
            <w:tcW w:w="2331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2辆大巴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（上高速）</w:t>
            </w:r>
          </w:p>
        </w:tc>
        <w:tc>
          <w:tcPr>
            <w:tcW w:w="2325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兰溪校区行政楼</w:t>
            </w:r>
          </w:p>
        </w:tc>
        <w:tc>
          <w:tcPr>
            <w:tcW w:w="178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师大校区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21:30</w:t>
            </w:r>
          </w:p>
        </w:tc>
        <w:tc>
          <w:tcPr>
            <w:tcW w:w="2331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1辆大巴（上高速）</w:t>
            </w:r>
          </w:p>
        </w:tc>
        <w:tc>
          <w:tcPr>
            <w:tcW w:w="2325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兰溪校区教学楼</w:t>
            </w:r>
          </w:p>
        </w:tc>
        <w:tc>
          <w:tcPr>
            <w:tcW w:w="178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师大校区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－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附二：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两校区班车时刻表（双休日）</w:t>
      </w:r>
    </w:p>
    <w:tbl>
      <w:tblPr>
        <w:tblStyle w:val="4"/>
        <w:tblpPr w:leftFromText="180" w:rightFromText="180" w:vertAnchor="text" w:horzAnchor="page" w:tblpX="1467" w:tblpY="601"/>
        <w:tblOverlap w:val="never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343"/>
        <w:gridCol w:w="2112"/>
        <w:gridCol w:w="213"/>
        <w:gridCol w:w="1787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6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师大校区至兰溪校区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shd w:val="clear" w:color="auto" w:fill="A5A5A5" w:themeFill="accent3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343" w:type="dxa"/>
            <w:shd w:val="clear" w:color="auto" w:fill="A5A5A5" w:themeFill="accent3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车辆</w:t>
            </w:r>
          </w:p>
        </w:tc>
        <w:tc>
          <w:tcPr>
            <w:tcW w:w="2112" w:type="dxa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始发</w:t>
            </w:r>
          </w:p>
        </w:tc>
        <w:tc>
          <w:tcPr>
            <w:tcW w:w="2000" w:type="dxa"/>
            <w:gridSpan w:val="2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到达</w:t>
            </w:r>
          </w:p>
        </w:tc>
        <w:tc>
          <w:tcPr>
            <w:tcW w:w="2163" w:type="dxa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7:30</w:t>
            </w:r>
          </w:p>
        </w:tc>
        <w:tc>
          <w:tcPr>
            <w:tcW w:w="23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1辆大巴（上高速）</w:t>
            </w:r>
          </w:p>
        </w:tc>
        <w:tc>
          <w:tcPr>
            <w:tcW w:w="211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丽泽东门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兰溪校区行政楼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12:30</w:t>
            </w:r>
          </w:p>
        </w:tc>
        <w:tc>
          <w:tcPr>
            <w:tcW w:w="23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1辆大巴（上高速）</w:t>
            </w:r>
          </w:p>
        </w:tc>
        <w:tc>
          <w:tcPr>
            <w:tcW w:w="211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丽泽东门</w:t>
            </w:r>
          </w:p>
        </w:tc>
        <w:tc>
          <w:tcPr>
            <w:tcW w:w="2000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兰溪校区教学楼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16幢前（12:40）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23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1辆大巴（上高速）</w:t>
            </w:r>
          </w:p>
        </w:tc>
        <w:tc>
          <w:tcPr>
            <w:tcW w:w="211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丽泽东门</w:t>
            </w:r>
          </w:p>
        </w:tc>
        <w:tc>
          <w:tcPr>
            <w:tcW w:w="2000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兰溪校区教学楼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16幢前（15:40）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17:10</w:t>
            </w:r>
          </w:p>
        </w:tc>
        <w:tc>
          <w:tcPr>
            <w:tcW w:w="23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1辆大巴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（上高速）</w:t>
            </w:r>
          </w:p>
        </w:tc>
        <w:tc>
          <w:tcPr>
            <w:tcW w:w="211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丽泽东门</w:t>
            </w:r>
          </w:p>
        </w:tc>
        <w:tc>
          <w:tcPr>
            <w:tcW w:w="2000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兰溪校区教学楼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16幢前（17:20）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6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兰溪校区至师大校区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shd w:val="clear" w:color="auto" w:fill="A5A5A5" w:themeFill="accent3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343" w:type="dxa"/>
            <w:shd w:val="clear" w:color="auto" w:fill="A5A5A5" w:themeFill="accent3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车辆</w:t>
            </w:r>
          </w:p>
        </w:tc>
        <w:tc>
          <w:tcPr>
            <w:tcW w:w="2325" w:type="dxa"/>
            <w:gridSpan w:val="2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始发</w:t>
            </w:r>
          </w:p>
        </w:tc>
        <w:tc>
          <w:tcPr>
            <w:tcW w:w="1787" w:type="dxa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到达</w:t>
            </w:r>
          </w:p>
        </w:tc>
        <w:tc>
          <w:tcPr>
            <w:tcW w:w="2163" w:type="dxa"/>
            <w:shd w:val="clear" w:color="auto" w:fill="A5A5A5" w:themeFill="accent3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8:10</w:t>
            </w:r>
          </w:p>
        </w:tc>
        <w:tc>
          <w:tcPr>
            <w:tcW w:w="23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1辆大巴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（上高速）</w:t>
            </w:r>
          </w:p>
        </w:tc>
        <w:tc>
          <w:tcPr>
            <w:tcW w:w="2325" w:type="dxa"/>
            <w:gridSpan w:val="2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兰溪校区行政楼</w:t>
            </w:r>
          </w:p>
        </w:tc>
        <w:tc>
          <w:tcPr>
            <w:tcW w:w="178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师大校区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13:20</w:t>
            </w:r>
          </w:p>
        </w:tc>
        <w:tc>
          <w:tcPr>
            <w:tcW w:w="23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1辆大巴（上高速）</w:t>
            </w:r>
          </w:p>
        </w:tc>
        <w:tc>
          <w:tcPr>
            <w:tcW w:w="2325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兰溪校区教学楼</w:t>
            </w:r>
          </w:p>
        </w:tc>
        <w:tc>
          <w:tcPr>
            <w:tcW w:w="178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师大校区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16:30</w:t>
            </w:r>
          </w:p>
        </w:tc>
        <w:tc>
          <w:tcPr>
            <w:tcW w:w="23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1辆大巴（上高速）</w:t>
            </w:r>
          </w:p>
        </w:tc>
        <w:tc>
          <w:tcPr>
            <w:tcW w:w="2325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兰溪校区教学楼</w:t>
            </w:r>
          </w:p>
        </w:tc>
        <w:tc>
          <w:tcPr>
            <w:tcW w:w="178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师大校区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21:30</w:t>
            </w:r>
          </w:p>
        </w:tc>
        <w:tc>
          <w:tcPr>
            <w:tcW w:w="23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1辆大巴（上高速）</w:t>
            </w:r>
          </w:p>
        </w:tc>
        <w:tc>
          <w:tcPr>
            <w:tcW w:w="2325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兰溪校区教学楼</w:t>
            </w:r>
          </w:p>
        </w:tc>
        <w:tc>
          <w:tcPr>
            <w:tcW w:w="178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师大校区</w:t>
            </w:r>
          </w:p>
        </w:tc>
        <w:tc>
          <w:tcPr>
            <w:tcW w:w="21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温馨提醒：</w:t>
      </w:r>
    </w:p>
    <w:p>
      <w:pPr>
        <w:pStyle w:val="5"/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1：教师凭一卡通乘车，学生凭学生干部工作证乘车。</w:t>
      </w:r>
    </w:p>
    <w:p>
      <w:pPr>
        <w:pStyle w:val="5"/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C6D9"/>
    <w:multiLevelType w:val="singleLevel"/>
    <w:tmpl w:val="59DEC6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66"/>
    <w:rsid w:val="00190FC5"/>
    <w:rsid w:val="00B83266"/>
    <w:rsid w:val="00DF0658"/>
    <w:rsid w:val="01A30D7E"/>
    <w:rsid w:val="02DA04C5"/>
    <w:rsid w:val="08BA421A"/>
    <w:rsid w:val="0A47344B"/>
    <w:rsid w:val="0B783B4E"/>
    <w:rsid w:val="0C3C657B"/>
    <w:rsid w:val="0E820E19"/>
    <w:rsid w:val="0FE92EF3"/>
    <w:rsid w:val="126D2DF6"/>
    <w:rsid w:val="12FB3346"/>
    <w:rsid w:val="13991E3D"/>
    <w:rsid w:val="17C9521E"/>
    <w:rsid w:val="1811241E"/>
    <w:rsid w:val="19366D10"/>
    <w:rsid w:val="1B952FD5"/>
    <w:rsid w:val="1CC50232"/>
    <w:rsid w:val="1DD66230"/>
    <w:rsid w:val="20290C4A"/>
    <w:rsid w:val="20793ED5"/>
    <w:rsid w:val="2230048A"/>
    <w:rsid w:val="22425616"/>
    <w:rsid w:val="29CF02B4"/>
    <w:rsid w:val="2BA95557"/>
    <w:rsid w:val="2C0E4252"/>
    <w:rsid w:val="2C2C4BE6"/>
    <w:rsid w:val="2E7C3E9A"/>
    <w:rsid w:val="2FEC24B7"/>
    <w:rsid w:val="3024630F"/>
    <w:rsid w:val="30FA1F76"/>
    <w:rsid w:val="32F31EB3"/>
    <w:rsid w:val="3313658F"/>
    <w:rsid w:val="35377155"/>
    <w:rsid w:val="39192BF2"/>
    <w:rsid w:val="398B6716"/>
    <w:rsid w:val="3B1F32E7"/>
    <w:rsid w:val="47FC15FD"/>
    <w:rsid w:val="4ED136BE"/>
    <w:rsid w:val="4F076678"/>
    <w:rsid w:val="4F6D538A"/>
    <w:rsid w:val="550472BF"/>
    <w:rsid w:val="56BB6EE4"/>
    <w:rsid w:val="5CC7369C"/>
    <w:rsid w:val="5E4E2447"/>
    <w:rsid w:val="5F662061"/>
    <w:rsid w:val="64126D41"/>
    <w:rsid w:val="66CA14B8"/>
    <w:rsid w:val="67347FEE"/>
    <w:rsid w:val="67914379"/>
    <w:rsid w:val="694D7F36"/>
    <w:rsid w:val="69B63098"/>
    <w:rsid w:val="6AFA738B"/>
    <w:rsid w:val="6C2E1624"/>
    <w:rsid w:val="6E4E06C9"/>
    <w:rsid w:val="6F510EB7"/>
    <w:rsid w:val="71477C3F"/>
    <w:rsid w:val="72A243EA"/>
    <w:rsid w:val="734A497F"/>
    <w:rsid w:val="743930C6"/>
    <w:rsid w:val="76E778C5"/>
    <w:rsid w:val="78474854"/>
    <w:rsid w:val="7BA02A55"/>
    <w:rsid w:val="7E1F0C80"/>
    <w:rsid w:val="7FB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ScaleCrop>false</ScaleCrop>
  <LinksUpToDate>false</LinksUpToDate>
  <CharactersWithSpaces>218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sq</cp:lastModifiedBy>
  <cp:lastPrinted>2017-10-12T08:25:00Z</cp:lastPrinted>
  <dcterms:modified xsi:type="dcterms:W3CDTF">2018-04-03T03:20:13Z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