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行知学院科技与社会服务部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2021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年工作总结与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2022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年工作要点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2021年，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我部门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在院领导的正确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带领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以及各部门的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全力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配合下，顺利地完成了全年工作任务，并取得了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丰硕的成果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具体如下：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科研工作——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稳步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推进、成果丰富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学院积极开展科学研究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科研工作稳步推进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2021年，我院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科研项目申报共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280余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人次，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其中纵向立项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项，省部级以上项目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，厅级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项，市级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；横向立项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150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余项，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年度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到款经费达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1078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万元；发表学术论文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160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余篇，其中SCI、EI源刊论文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篇，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CSCD、CSSCI源刊论文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篇；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授权专利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项，其中发明专利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其他科研管理工作有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1.项目获奖和申报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科研获奖3人，其中郑荣泉作为第一完成人获得全国商业科技进步一等奖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组织申报2022年度国家自然科学基金10项、国家社科基金7项，全国教育科学规划课题1项。组织申报2022年度浙江省基础公益研究计划项目16项，立项2项。组织申报2022年度“尖兵”“领雁”研发攻关计划项目1项。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完成纵向项目（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国家社科基金、国家社科基金冷门绝学、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浙江省高校重大人文社科攻关计划项目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浙江省教育科学规划课题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、浙江省高等教育学会、金华市科协项目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的独立申报与管理工作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启动2021年度行知学院中青年教师科研起航项目，共21项立项。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2.制度制订与创新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</w:rPr>
        <w:t>制订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2021年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eastAsia="zh-CN"/>
        </w:rPr>
        <w:t>行知学院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highlight w:val="none"/>
        </w:rPr>
        <w:t>科研业绩计分与奖励办法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highlight w:val="none"/>
          <w:lang w:eastAsia="zh-CN"/>
        </w:rPr>
        <w:t>，完成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2020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年度科研业绩计分与奖励工作；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2021年度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教师科研工作量的统计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与考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作为浙江科技大脑创新券载体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完成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年度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创新券兑付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预约确认等管理工作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共接收创新券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574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万元，其中已兑付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项，共计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161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省创新券补助经费入账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5.25万元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完成2020年度兰溪知识产权奖励与补助发放工作。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3.其他常规科研工作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2021年专业技术职务申报中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科研审核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认定工作。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8个相关科研管理系统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的填报工作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</w:rPr>
        <w:t>，包括浙江省学科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建设信息采集系统、浙江省教育厅应用型本科高校建设评估系统、浙江省教育厅普通本科高校分类评优管理系统、本科教学质量报告管理系统、全国普通高校社科和科技管理系统、高等教育质量检测国家数据平台、高校教学基本状态数据采集工作、校科学研究院科研成果及业绩统计管理系统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学科建设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——搭建团队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、突破发展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1.开展第一批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专业硕士学位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定向培育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建设项目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中期检查工作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，汉语国际教育、农业（农业管理领域）、材料与化工、电子信息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共计4个项目通过检查；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为发挥团队协同作用，搭建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创新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团队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启动第二批创新团队建设，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共设立24项，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其中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6项重大科技创新团队，10项重点科技创新团队，8项社会服务科技创新团队。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每个团队建设期三年。重大创新团队主要培育国家级科研项目、重大横向项目，建设完成后应产出具有显示度的高端科研成果。重点创新团队主要培育省部级科研项目、重点横向项目，建设完成后应产出创新性科研成果。社会服务团队主要是培育产学研高度融合，深入校企合作，推动学院转型升级有较大促进作用的团队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为发挥团队协同作用，搭建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科研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团队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8个校级科研机构考核以及新一轮8个校级研究机构的申报工作、完成16个院级研究机构申报工作以及三年横向项目管理经费返还工作。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2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社会服务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——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科学决策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服务地方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学院技术转移中心积极拓展和维护与企事业单位的良好关系，积极配合政府各级主管部门开展社会服务工作，全年走访企业66家次，组织学院专家团队300余人次入企对接技术难题和需求，成功举办学院成果发布会和沙龙3次。积极配合兰溪科学技术局开展的“人才科技月”相关活动，我院在协同创新中心组建的6支涉及现代纺织、光电信息新材料、医药健康、新能源交通装备、节能环保、数字经济等领域的行知学院专家团队基础上，成立了第二批创新团队24个，包括重大创新团队6个，重点创新团队10个，社会服务创新团队8个，参加了浙江第六届创新挑战赛、金华市第20届工科会、长三角G60科技成果转移转化会议等活动；完成技术转移年度总结递交浙江省高校院所技术转移联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择优聘任兼职教授，做好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行知论坛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等。新聘黄刚等12位兼职教授，开设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行知论坛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”4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讲，举办特色班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个，结业特色班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个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产学研合作不断深入。学院新增华图教育和海文教育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爱心企业奖学奖教基金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，基金总额1000万元。完成与浙江康鹏半导体、兰湖旅游度假区、兰溪交通建设投资集团、信诺达环境、浙江佳泰等企事业单位签订战略合作协议。与浙江鑫兰、浙江佳泰、兰溪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市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人民检察院、兰溪光学膜产业园、兰溪行知小学、兰溪五丰等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15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家企业共建实践教育基地；学院与兰溪市迪斯泥文具有限公司、兰溪融媒体中心等2家单位成立了共建研发中心；与兰溪锦荣生物共建硕士研究生教育实践基地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；与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北京丹曾文化、兰溪市融媒体中心等成立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丹曾人文（兰溪）学校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开展合作，邀请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北京大学程郁缀教授来校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举办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“古典诗歌和人文精神”的讲座；与长三角镁材料研究院共建科研合作基地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积极参与筹备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第15届浙江省中小企业峰会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，2021年的峰会主题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聚焦数字经济，引领企业创新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，但由于疫情的影响，原定11月27日举办的峰会延期举行；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大力加强宣传。整理我院教师的科研成果和技术服务资料，编撰并修订第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版《科学研究与社会服务手册》，积极向企业宣传我院科技成果，并完成撰写我院领导走访企事业单位、成果发布、校企合作和参加各类活动等宣传报道、美篇和信息等20余篇；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全力协助完成2021年兰溪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百名优秀企业家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表彰大会暨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兰溪企业家日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活动在我院成功举办。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继续教育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——迎难而上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依规办事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年受疫情的影响下，学院继续教育工作以创品牌、创口碑为目标，获得大力发展、成效显著。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函授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工作开设函授、业余等学历教育本科专业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八个专业分别为：国际经济与贸易、法学、英语、应用化学、计算机科学与技术、工商管理、会计学、视觉传达设计。在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今年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我院分别与杭州科技专修学校、金华经济技术开发区砺行文化培训部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签订合作协议，设立函授辅导站。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今年是我院继续教育学院成人学历教育招生的第二年，完成首届2021级学生录取注册12人，分别法学10人、会计学2人。2021年成人学历教育报名人数15人，分别是法学12人、计算机科学与技术、工商管理、会计学各1人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省教育厅分配我院招生计划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；目前已完成录取法学11人，工商管理1人。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制定了函授教育规章制度：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浙江师范大学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行知学院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函授生学籍管理暂行规定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浙江师范大学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行知学院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成人高等教育本科毕业生学士学位授予工作细则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浙江师范大学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行知学院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成人高等教育学号编码规则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2.培训项目方面，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2021年截止目前，培训项目共开展204个，培训收入共计1871.8683万元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培训收入比上年增长61%，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参训人数共11222人次。其中省师训平台项目142个，参训7916人次。其他委托项目62个，参训3306人次。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中教未来国际教育科技（北京）有限公司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创收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协助中教未来修订学生管理规章制度；认真按学院防疫等规定办理在校学生和兼职教师进出校门手续。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>五、外事工作——积极对接、打造平台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"/>
        </w:rPr>
        <w:t>开展一系列我院外事的对接工作。完成2021年度外教课时的核对与课酬的发放；开展2022年度我院英语课程采购和签约工作；完成我院三位教师回国的申请手续；完成省教育厅关于外籍教师管理的调查报告；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</w:rPr>
        <w:t>开展香港科技大学/香港中文大学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  <w:lang w:val="en-US" w:eastAsia="zh-CN"/>
        </w:rPr>
        <w:t>/香港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</w:rPr>
        <w:t>浸会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  <w:lang w:val="en-US" w:eastAsia="zh-CN"/>
        </w:rPr>
        <w:t>大学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</w:rPr>
        <w:t>等寒假线上学术项目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  <w:lang w:val="en-US" w:eastAsia="zh-CN"/>
        </w:rPr>
        <w:t>目前有35名学生报名参加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"/>
        </w:rPr>
        <w:t>建立留学、研学、公派出国等项目对接渠道。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其他工作——严于律己、清廉办事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明确职责，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永葆廉洁本色，共建廉洁校园，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保证廉政建设各项工作落到实处，较好地推进廉政建设和反腐败工作的开展，积极参加学习，认真查找问题。积极开展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两学一做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学习活动，学习党规党章，学习系列讲话，做合格党员。在学习方面，无论是支部组织的学习会，还是部门内部的中心小组学习会，如无特殊情况，部门人员不能缺席。除了集体学习外，部门人员个人还要坚持自学。学习之后，及时撰写心得体会。自觉遵守工作纪律和党风廉政建设制度，严格按照各项规章制度，廉洁从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七、2022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年工作要点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1.继续推进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高端科研平台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建设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做好国家级、省级重点项目及重大横向项目预研和申报工作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争取立项；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2.做好全国商业重点实验室申报工作；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3.推进创新团队、校院两级科研机构的发展和管理工作，发挥团队协同进步作用；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推进继续教育工作，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拓展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合作办学新路径，提升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培训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管理质量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增加内涵建设，形成良好的社会口碑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5.做好产业学院建设工作，做成校企合作的品牌项目；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推进社会服务工作，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继续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各学科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教师搭建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平台，加强与相关企业产学研合作对接，促进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科技成果转化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做好兰溪技术转移中心服务工作。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C2484"/>
    <w:rsid w:val="24066BDB"/>
    <w:rsid w:val="2AA50EFC"/>
    <w:rsid w:val="3C780CB1"/>
    <w:rsid w:val="46CC3208"/>
    <w:rsid w:val="49007067"/>
    <w:rsid w:val="5D7D3801"/>
    <w:rsid w:val="60FC2484"/>
    <w:rsid w:val="64DF64B3"/>
    <w:rsid w:val="6C447139"/>
    <w:rsid w:val="6DF66DF1"/>
    <w:rsid w:val="73873813"/>
    <w:rsid w:val="74347E13"/>
    <w:rsid w:val="749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ara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2021-12-12T02:17:00Z</dcterms:created>
  <dc:creator>龚阳春</dc:creator>
  <cp:lastModifiedBy>Lenovo</cp:lastModifiedBy>
  <dcterms:modified xsi:type="dcterms:W3CDTF">2021-12-12T07:20:52Z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172533FADF47489B8E3AABB0A5A18B44</vt:lpwstr>
  </property>
</Properties>
</file>